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18C5" w14:textId="1D77655E" w:rsidR="006B5CBF" w:rsidRPr="006B5CBF" w:rsidRDefault="006B5CBF" w:rsidP="006B5CBF">
      <w:pPr>
        <w:pStyle w:val="EncadrGrisClair"/>
      </w:pPr>
      <w:r w:rsidRPr="006B5CBF">
        <w:t>M</w:t>
      </w:r>
      <w:r>
        <w:t>odèle de</w:t>
      </w:r>
      <w:r w:rsidRPr="006B5CBF">
        <w:t xml:space="preserve"> </w:t>
      </w:r>
      <w:r>
        <w:t xml:space="preserve">délibération </w:t>
      </w:r>
      <w:r w:rsidR="002F0BA5">
        <w:t>instaurant</w:t>
      </w:r>
      <w:r>
        <w:t xml:space="preserve"> les indemnités horaires de travaux supplémentaires (IHTS)</w:t>
      </w:r>
    </w:p>
    <w:p w14:paraId="6225DA6B" w14:textId="77777777" w:rsidR="006B5CBF" w:rsidRPr="006B5CBF" w:rsidRDefault="006B5CBF" w:rsidP="006B5CBF">
      <w:pPr>
        <w:rPr>
          <w:rFonts w:eastAsia="Times New Roman"/>
          <w:snapToGrid w:val="0"/>
          <w:color w:val="000000"/>
        </w:rPr>
      </w:pPr>
    </w:p>
    <w:p w14:paraId="61391AB4" w14:textId="77777777" w:rsidR="006B5CBF" w:rsidRPr="006B5CBF" w:rsidRDefault="006B5CBF" w:rsidP="006B5CBF">
      <w:pPr>
        <w:rPr>
          <w:rFonts w:eastAsia="Times New Roman"/>
          <w:szCs w:val="24"/>
        </w:rPr>
      </w:pPr>
    </w:p>
    <w:p w14:paraId="66C25171" w14:textId="77777777" w:rsidR="006B5CBF" w:rsidRPr="006B5CBF" w:rsidRDefault="006B5CBF" w:rsidP="006B5CBF">
      <w:pPr>
        <w:rPr>
          <w:rFonts w:eastAsia="Times New Roman"/>
          <w:szCs w:val="24"/>
        </w:rPr>
      </w:pPr>
      <w:r w:rsidRPr="006B5CBF">
        <w:rPr>
          <w:rFonts w:eastAsia="Times New Roman"/>
          <w:szCs w:val="24"/>
        </w:rPr>
        <w:t xml:space="preserve">Le ... (date), à ... (heure), en ...(lieu) se sont réunis les membres du Conseil Municipal, sous la présidence de </w:t>
      </w:r>
      <w:proofErr w:type="gramStart"/>
      <w:r w:rsidRPr="006B5CBF">
        <w:rPr>
          <w:rFonts w:eastAsia="Times New Roman"/>
          <w:szCs w:val="24"/>
        </w:rPr>
        <w:t>... ,</w:t>
      </w:r>
      <w:proofErr w:type="gramEnd"/>
      <w:r w:rsidRPr="006B5CBF">
        <w:rPr>
          <w:rFonts w:eastAsia="Times New Roman"/>
          <w:szCs w:val="24"/>
        </w:rPr>
        <w:t xml:space="preserve"> convoqués le … ,</w:t>
      </w:r>
    </w:p>
    <w:p w14:paraId="47BB4506" w14:textId="5ACB0B7B" w:rsidR="006B5CBF" w:rsidRDefault="006B5CBF" w:rsidP="006B5CBF">
      <w:pPr>
        <w:rPr>
          <w:rFonts w:eastAsia="Times New Roman"/>
          <w:szCs w:val="24"/>
        </w:rPr>
      </w:pPr>
    </w:p>
    <w:p w14:paraId="3A845A68" w14:textId="77777777" w:rsidR="006B5CBF" w:rsidRPr="006B5CBF" w:rsidRDefault="006B5CBF" w:rsidP="006B5CBF">
      <w:pPr>
        <w:rPr>
          <w:rFonts w:eastAsia="Times New Roman"/>
          <w:szCs w:val="24"/>
        </w:rPr>
      </w:pPr>
    </w:p>
    <w:p w14:paraId="7653E360" w14:textId="77777777" w:rsidR="006B5CBF" w:rsidRPr="006B5CBF" w:rsidRDefault="006B5CBF" w:rsidP="006B5CBF">
      <w:pPr>
        <w:rPr>
          <w:rFonts w:eastAsia="Times New Roman"/>
          <w:szCs w:val="24"/>
        </w:rPr>
      </w:pPr>
      <w:r w:rsidRPr="006B5CBF">
        <w:rPr>
          <w:rFonts w:eastAsia="Times New Roman"/>
          <w:szCs w:val="24"/>
        </w:rPr>
        <w:t xml:space="preserve">Etaient présents : </w:t>
      </w:r>
      <w:r w:rsidRPr="006B5CBF">
        <w:rPr>
          <w:rFonts w:eastAsia="Times New Roman"/>
          <w:szCs w:val="24"/>
        </w:rPr>
        <w:tab/>
      </w:r>
    </w:p>
    <w:p w14:paraId="0B46BECF" w14:textId="028D10C4" w:rsidR="006B5CBF" w:rsidRDefault="006B5CBF" w:rsidP="006B5CBF">
      <w:pPr>
        <w:rPr>
          <w:rFonts w:eastAsia="Times New Roman"/>
          <w:szCs w:val="24"/>
        </w:rPr>
      </w:pPr>
    </w:p>
    <w:p w14:paraId="78C8DF87" w14:textId="77777777" w:rsidR="006B5CBF" w:rsidRPr="006B5CBF" w:rsidRDefault="006B5CBF" w:rsidP="006B5CBF">
      <w:pPr>
        <w:rPr>
          <w:rFonts w:eastAsia="Times New Roman"/>
          <w:szCs w:val="24"/>
        </w:rPr>
      </w:pPr>
    </w:p>
    <w:p w14:paraId="3412B217" w14:textId="77777777" w:rsidR="006B5CBF" w:rsidRPr="006B5CBF" w:rsidRDefault="006B5CBF" w:rsidP="006B5CBF">
      <w:pPr>
        <w:rPr>
          <w:rFonts w:eastAsia="Times New Roman"/>
          <w:szCs w:val="24"/>
        </w:rPr>
      </w:pPr>
      <w:r w:rsidRPr="006B5CBF">
        <w:rPr>
          <w:rFonts w:eastAsia="Times New Roman"/>
          <w:szCs w:val="24"/>
        </w:rPr>
        <w:t xml:space="preserve">Etaient absent(s) excusé(s) : </w:t>
      </w:r>
      <w:r w:rsidRPr="006B5CBF">
        <w:rPr>
          <w:rFonts w:eastAsia="Times New Roman"/>
          <w:szCs w:val="24"/>
        </w:rPr>
        <w:tab/>
      </w:r>
    </w:p>
    <w:p w14:paraId="4C46DA3F" w14:textId="4D344451" w:rsidR="006B5CBF" w:rsidRDefault="006B5CBF" w:rsidP="006B5CBF">
      <w:pPr>
        <w:rPr>
          <w:rFonts w:eastAsia="Times New Roman"/>
          <w:szCs w:val="24"/>
        </w:rPr>
      </w:pPr>
    </w:p>
    <w:p w14:paraId="692DB529" w14:textId="77777777" w:rsidR="006B5CBF" w:rsidRPr="006B5CBF" w:rsidRDefault="006B5CBF" w:rsidP="006B5CBF">
      <w:pPr>
        <w:rPr>
          <w:rFonts w:eastAsia="Times New Roman"/>
          <w:szCs w:val="24"/>
        </w:rPr>
      </w:pPr>
    </w:p>
    <w:p w14:paraId="552F7E13" w14:textId="77777777" w:rsidR="006B5CBF" w:rsidRPr="006B5CBF" w:rsidRDefault="006B5CBF" w:rsidP="006B5CBF">
      <w:pPr>
        <w:rPr>
          <w:rFonts w:eastAsia="Times New Roman"/>
          <w:szCs w:val="24"/>
        </w:rPr>
      </w:pPr>
      <w:r w:rsidRPr="006B5CBF">
        <w:rPr>
          <w:rFonts w:eastAsia="Times New Roman"/>
          <w:szCs w:val="24"/>
        </w:rPr>
        <w:t xml:space="preserve">Le secrétariat a été assuré par : </w:t>
      </w:r>
      <w:r w:rsidRPr="006B5CBF">
        <w:rPr>
          <w:rFonts w:eastAsia="Times New Roman"/>
          <w:szCs w:val="24"/>
        </w:rPr>
        <w:tab/>
      </w:r>
    </w:p>
    <w:p w14:paraId="38EC3EF2" w14:textId="7278826A" w:rsidR="006B5CBF" w:rsidRPr="006B5CBF" w:rsidRDefault="006B5CBF" w:rsidP="006B5CBF">
      <w:pPr>
        <w:rPr>
          <w:rFonts w:eastAsia="Times New Roman"/>
          <w:snapToGrid w:val="0"/>
          <w:color w:val="000000"/>
          <w:szCs w:val="24"/>
        </w:rPr>
      </w:pPr>
    </w:p>
    <w:p w14:paraId="5A379EE2" w14:textId="14301E10" w:rsidR="006B5CBF" w:rsidRDefault="006B5CBF" w:rsidP="006B5CBF">
      <w:pPr>
        <w:rPr>
          <w:rFonts w:eastAsia="Times New Roman"/>
          <w:snapToGrid w:val="0"/>
          <w:color w:val="000000"/>
        </w:rPr>
      </w:pPr>
    </w:p>
    <w:p w14:paraId="14FE018A" w14:textId="2C69B61D" w:rsidR="006B5CBF" w:rsidRPr="006B5CBF" w:rsidRDefault="006B5CBF" w:rsidP="006B5CBF">
      <w:pPr>
        <w:rPr>
          <w:rFonts w:eastAsia="Times New Roman"/>
          <w:b/>
          <w:bCs/>
        </w:rPr>
      </w:pPr>
      <w:r w:rsidRPr="006B5CBF">
        <w:rPr>
          <w:rFonts w:eastAsia="Times New Roman"/>
          <w:b/>
          <w:bCs/>
        </w:rPr>
        <w:t>Le président/le maire rappelle à l’assemblée :</w:t>
      </w:r>
    </w:p>
    <w:p w14:paraId="3187B984" w14:textId="77777777" w:rsidR="006B5CBF" w:rsidRPr="006B5CBF" w:rsidRDefault="006B5CBF" w:rsidP="006B5CBF">
      <w:pPr>
        <w:rPr>
          <w:rFonts w:eastAsia="Times New Roman"/>
          <w:szCs w:val="24"/>
        </w:rPr>
      </w:pPr>
    </w:p>
    <w:p w14:paraId="3EE4D931" w14:textId="7376A4B9" w:rsidR="006B5CBF" w:rsidRPr="006B5CBF" w:rsidRDefault="006B5CBF" w:rsidP="006B5CBF">
      <w:pPr>
        <w:rPr>
          <w:rFonts w:eastAsia="Times New Roman"/>
          <w:szCs w:val="24"/>
        </w:rPr>
      </w:pPr>
      <w:r w:rsidRPr="006B5CBF">
        <w:rPr>
          <w:rFonts w:eastAsia="Times New Roman"/>
          <w:szCs w:val="24"/>
        </w:rPr>
        <w:t>Vu le Code Général des Collectivités Territoriales</w:t>
      </w:r>
      <w:r w:rsidR="00BF6696">
        <w:rPr>
          <w:rFonts w:eastAsia="Times New Roman"/>
          <w:szCs w:val="24"/>
        </w:rPr>
        <w:t> ;</w:t>
      </w:r>
    </w:p>
    <w:p w14:paraId="6C6CF747" w14:textId="77777777" w:rsidR="006B5CBF" w:rsidRPr="006B5CBF" w:rsidRDefault="006B5CBF" w:rsidP="006B5CBF">
      <w:pPr>
        <w:rPr>
          <w:rFonts w:eastAsia="Times New Roman"/>
          <w:szCs w:val="24"/>
        </w:rPr>
      </w:pPr>
    </w:p>
    <w:p w14:paraId="2691231C" w14:textId="19555FB0" w:rsidR="006B5CBF" w:rsidRPr="006B5CBF" w:rsidRDefault="00403270" w:rsidP="006B5CBF">
      <w:pPr>
        <w:rPr>
          <w:rFonts w:eastAsia="Times New Roman"/>
          <w:szCs w:val="24"/>
        </w:rPr>
      </w:pPr>
      <w:r>
        <w:rPr>
          <w:rFonts w:eastAsia="Times New Roman"/>
          <w:szCs w:val="24"/>
        </w:rPr>
        <w:t xml:space="preserve">Vu le Code Général de la Fonction Publique ; </w:t>
      </w:r>
    </w:p>
    <w:p w14:paraId="28FCA9D6" w14:textId="77777777" w:rsidR="006B5CBF" w:rsidRPr="006B5CBF" w:rsidRDefault="006B5CBF" w:rsidP="006B5CBF">
      <w:pPr>
        <w:rPr>
          <w:rFonts w:eastAsia="Times New Roman"/>
          <w:szCs w:val="24"/>
        </w:rPr>
      </w:pPr>
    </w:p>
    <w:p w14:paraId="000C4738" w14:textId="7B44A40C" w:rsidR="006B5CBF" w:rsidRPr="006B5CBF" w:rsidRDefault="006B5CBF" w:rsidP="006B5CBF">
      <w:pPr>
        <w:rPr>
          <w:rFonts w:eastAsia="Times New Roman"/>
          <w:snapToGrid w:val="0"/>
          <w:color w:val="000000"/>
        </w:rPr>
      </w:pPr>
      <w:r w:rsidRPr="006B5CBF">
        <w:rPr>
          <w:rFonts w:eastAsia="Times New Roman"/>
          <w:szCs w:val="24"/>
        </w:rPr>
        <w:t>Vu le décret n° 91-875 du 6 septembre 1991</w:t>
      </w:r>
      <w:r>
        <w:rPr>
          <w:rFonts w:eastAsia="Times New Roman"/>
          <w:szCs w:val="24"/>
        </w:rPr>
        <w:t xml:space="preserve"> modifié</w:t>
      </w:r>
      <w:r w:rsidRPr="006B5CBF">
        <w:rPr>
          <w:rFonts w:eastAsia="Times New Roman"/>
          <w:szCs w:val="24"/>
        </w:rPr>
        <w:t xml:space="preserve"> pris pour l'application du 1er alinéa de l'article 88 de la loi du 26 janvier 1984</w:t>
      </w:r>
      <w:r w:rsidR="00BF6696">
        <w:rPr>
          <w:rFonts w:eastAsia="Times New Roman"/>
          <w:snapToGrid w:val="0"/>
          <w:color w:val="000000"/>
        </w:rPr>
        <w:t> ;</w:t>
      </w:r>
    </w:p>
    <w:p w14:paraId="7214E5F7" w14:textId="77777777" w:rsidR="006B5CBF" w:rsidRPr="006B5CBF" w:rsidRDefault="006B5CBF" w:rsidP="006B5CBF">
      <w:pPr>
        <w:rPr>
          <w:rFonts w:eastAsia="Times New Roman"/>
          <w:snapToGrid w:val="0"/>
        </w:rPr>
      </w:pPr>
    </w:p>
    <w:p w14:paraId="26C71E88" w14:textId="75125CA6" w:rsidR="006B5CBF" w:rsidRDefault="006B5CBF" w:rsidP="006B5CBF">
      <w:pPr>
        <w:rPr>
          <w:rFonts w:eastAsia="Times New Roman"/>
          <w:snapToGrid w:val="0"/>
          <w:color w:val="000000"/>
        </w:rPr>
      </w:pPr>
      <w:r w:rsidRPr="006B5CBF">
        <w:rPr>
          <w:rFonts w:eastAsia="Times New Roman"/>
          <w:snapToGrid w:val="0"/>
          <w:color w:val="000000"/>
        </w:rPr>
        <w:t>Vu le décret n°</w:t>
      </w:r>
      <w:r w:rsidR="00CE3AEF">
        <w:rPr>
          <w:rFonts w:eastAsia="Times New Roman"/>
          <w:snapToGrid w:val="0"/>
          <w:color w:val="000000"/>
        </w:rPr>
        <w:t xml:space="preserve"> </w:t>
      </w:r>
      <w:r w:rsidRPr="006B5CBF">
        <w:rPr>
          <w:rFonts w:eastAsia="Times New Roman"/>
          <w:snapToGrid w:val="0"/>
          <w:color w:val="000000"/>
        </w:rPr>
        <w:t>2002-60 du 14 janvier 2002 modifié relatif aux indemnités horaires pour travaux supplémentaires</w:t>
      </w:r>
      <w:r w:rsidR="00BF6696">
        <w:rPr>
          <w:rFonts w:eastAsia="Times New Roman"/>
          <w:snapToGrid w:val="0"/>
          <w:color w:val="000000"/>
        </w:rPr>
        <w:t> ;</w:t>
      </w:r>
    </w:p>
    <w:p w14:paraId="240EB638" w14:textId="77777777" w:rsidR="00D17887" w:rsidRDefault="00D17887" w:rsidP="006B5CBF">
      <w:pPr>
        <w:rPr>
          <w:rFonts w:eastAsia="Times New Roman"/>
          <w:snapToGrid w:val="0"/>
          <w:color w:val="000000"/>
        </w:rPr>
      </w:pPr>
    </w:p>
    <w:p w14:paraId="6A58CE49" w14:textId="107E29A1" w:rsidR="00D17887" w:rsidRPr="00D17887" w:rsidRDefault="00D17887" w:rsidP="00D17887">
      <w:pPr>
        <w:rPr>
          <w:rFonts w:eastAsia="Times New Roman"/>
          <w:snapToGrid w:val="0"/>
          <w:color w:val="000000"/>
        </w:rPr>
      </w:pPr>
      <w:r w:rsidRPr="00D17887">
        <w:rPr>
          <w:rFonts w:eastAsia="Times New Roman"/>
          <w:snapToGrid w:val="0"/>
          <w:color w:val="000000"/>
        </w:rPr>
        <w:t>Vu le décret n° 2020-592 du 15 mai 2020 relatif aux modalités de calcul et à la majoration de la rémunération des heures complémentaires des agents de la fonction publique territoriale nommés dans des emplois permanents à temps non complet ;</w:t>
      </w:r>
    </w:p>
    <w:p w14:paraId="76E36B85" w14:textId="77777777" w:rsidR="006B5CBF" w:rsidRPr="006B5CBF" w:rsidRDefault="006B5CBF" w:rsidP="006B5CBF">
      <w:pPr>
        <w:rPr>
          <w:rFonts w:eastAsia="Times New Roman"/>
          <w:snapToGrid w:val="0"/>
        </w:rPr>
      </w:pPr>
    </w:p>
    <w:p w14:paraId="0BB86A94" w14:textId="2D2A6ED7" w:rsidR="006B5CBF" w:rsidRDefault="006B5CBF" w:rsidP="006B5CBF">
      <w:pPr>
        <w:rPr>
          <w:rFonts w:eastAsia="Times New Roman"/>
          <w:snapToGrid w:val="0"/>
          <w:color w:val="000000"/>
          <w:szCs w:val="24"/>
        </w:rPr>
      </w:pPr>
      <w:r w:rsidRPr="006B5CBF">
        <w:rPr>
          <w:rFonts w:eastAsia="Times New Roman"/>
          <w:snapToGrid w:val="0"/>
          <w:color w:val="000000"/>
          <w:szCs w:val="24"/>
        </w:rPr>
        <w:t xml:space="preserve">Vu l’avis du Comité </w:t>
      </w:r>
      <w:r w:rsidR="00710FB4">
        <w:rPr>
          <w:rFonts w:eastAsia="Times New Roman"/>
          <w:snapToGrid w:val="0"/>
          <w:color w:val="000000"/>
          <w:szCs w:val="24"/>
        </w:rPr>
        <w:t xml:space="preserve">Social </w:t>
      </w:r>
      <w:r w:rsidRPr="006B5CBF">
        <w:rPr>
          <w:rFonts w:eastAsia="Times New Roman"/>
          <w:snapToGrid w:val="0"/>
          <w:color w:val="000000"/>
          <w:szCs w:val="24"/>
        </w:rPr>
        <w:t>Te</w:t>
      </w:r>
      <w:r w:rsidR="00710FB4">
        <w:rPr>
          <w:rFonts w:eastAsia="Times New Roman"/>
          <w:snapToGrid w:val="0"/>
          <w:color w:val="000000"/>
          <w:szCs w:val="24"/>
        </w:rPr>
        <w:t>rritorial</w:t>
      </w:r>
      <w:r w:rsidRPr="006B5CBF">
        <w:rPr>
          <w:rFonts w:eastAsia="Times New Roman"/>
          <w:snapToGrid w:val="0"/>
          <w:color w:val="000000"/>
          <w:szCs w:val="24"/>
        </w:rPr>
        <w:t xml:space="preserve"> en date du ……</w:t>
      </w:r>
      <w:r w:rsidR="00BF6696">
        <w:rPr>
          <w:rFonts w:eastAsia="Times New Roman"/>
          <w:snapToGrid w:val="0"/>
          <w:color w:val="000000"/>
          <w:szCs w:val="24"/>
        </w:rPr>
        <w:t> ;</w:t>
      </w:r>
    </w:p>
    <w:p w14:paraId="5379ABDB" w14:textId="77777777" w:rsidR="006B5CBF" w:rsidRPr="006B5CBF" w:rsidRDefault="006B5CBF" w:rsidP="006B5CBF">
      <w:pPr>
        <w:rPr>
          <w:rFonts w:eastAsia="Times New Roman"/>
          <w:snapToGrid w:val="0"/>
          <w:color w:val="000000"/>
          <w:szCs w:val="24"/>
        </w:rPr>
      </w:pPr>
    </w:p>
    <w:p w14:paraId="084A70F0" w14:textId="47253B6A" w:rsidR="00CE3AEF" w:rsidRDefault="00CE3AEF" w:rsidP="006B5CBF">
      <w:pPr>
        <w:rPr>
          <w:rFonts w:eastAsia="Times New Roman"/>
          <w:color w:val="000000"/>
          <w:szCs w:val="24"/>
        </w:rPr>
      </w:pPr>
      <w:r w:rsidRPr="00CE3AEF">
        <w:rPr>
          <w:rFonts w:eastAsia="Times New Roman"/>
          <w:color w:val="000000"/>
          <w:szCs w:val="24"/>
        </w:rPr>
        <w:t>Considérant que conformément à l’article 2 du décret n° 91-875 susvisé, il appartient à l'assemblée délibérante de fixer, dans les limites prévues par les textes susmentionnés, la nature, les conditions d'attribution et le taux moyen des indemnités applicables au personnel de la collectivité</w:t>
      </w:r>
      <w:r w:rsidR="00BF6696">
        <w:rPr>
          <w:rFonts w:eastAsia="Times New Roman"/>
          <w:color w:val="000000"/>
          <w:szCs w:val="24"/>
        </w:rPr>
        <w:t xml:space="preserve"> et de</w:t>
      </w:r>
      <w:r w:rsidR="00BF6696" w:rsidRPr="00BF6696">
        <w:rPr>
          <w:rFonts w:ascii="Arial" w:hAnsi="Arial" w:cs="Arial"/>
          <w:color w:val="3C3C3C"/>
          <w:sz w:val="21"/>
          <w:szCs w:val="21"/>
          <w:shd w:val="clear" w:color="auto" w:fill="FFFFFF"/>
        </w:rPr>
        <w:t xml:space="preserve"> </w:t>
      </w:r>
      <w:r w:rsidR="00BF6696" w:rsidRPr="00BF6696">
        <w:rPr>
          <w:rFonts w:eastAsia="Times New Roman"/>
          <w:color w:val="000000"/>
          <w:szCs w:val="24"/>
        </w:rPr>
        <w:t>fixe</w:t>
      </w:r>
      <w:r w:rsidR="00BF6696">
        <w:rPr>
          <w:rFonts w:eastAsia="Times New Roman"/>
          <w:color w:val="000000"/>
          <w:szCs w:val="24"/>
        </w:rPr>
        <w:t>r</w:t>
      </w:r>
      <w:r w:rsidR="00BF6696" w:rsidRPr="00BF6696">
        <w:rPr>
          <w:rFonts w:eastAsia="Times New Roman"/>
          <w:color w:val="000000"/>
          <w:szCs w:val="24"/>
        </w:rPr>
        <w:t>, notamment, la liste des emplois dont les missions impliquent la réalisation effective d'heures supplémentaires ouvrant droit aux indemnités horaires pour travaux supplémentaires</w:t>
      </w:r>
      <w:r w:rsidR="00BF6696">
        <w:rPr>
          <w:rFonts w:eastAsia="Times New Roman"/>
          <w:color w:val="000000"/>
          <w:szCs w:val="24"/>
        </w:rPr>
        <w:t>.</w:t>
      </w:r>
    </w:p>
    <w:p w14:paraId="3A9CAFAA" w14:textId="1832FCFE" w:rsidR="00CE3AEF" w:rsidRDefault="00CE3AEF" w:rsidP="006B5CBF">
      <w:pPr>
        <w:rPr>
          <w:rFonts w:eastAsia="Times New Roman"/>
          <w:color w:val="000000"/>
          <w:szCs w:val="24"/>
        </w:rPr>
      </w:pPr>
    </w:p>
    <w:p w14:paraId="1A4ACBF4" w14:textId="50DB7A40" w:rsidR="002F0BA5" w:rsidRPr="002F0BA5" w:rsidRDefault="002F0BA5" w:rsidP="002F0BA5">
      <w:pPr>
        <w:rPr>
          <w:rFonts w:eastAsia="Times New Roman"/>
          <w:color w:val="000000"/>
          <w:szCs w:val="24"/>
        </w:rPr>
      </w:pPr>
      <w:r w:rsidRPr="002F0BA5">
        <w:rPr>
          <w:rFonts w:eastAsia="Times New Roman"/>
          <w:color w:val="000000"/>
          <w:szCs w:val="24"/>
        </w:rPr>
        <w:t>Considérant que la notion d’heures supplémentaires correspond aux heures effectuées à la demande du chef de service dès qu'il y a dépassement des bornes horaires définies par le cycle de travail</w:t>
      </w:r>
      <w:r>
        <w:rPr>
          <w:rFonts w:eastAsia="Times New Roman"/>
          <w:color w:val="000000"/>
          <w:szCs w:val="24"/>
        </w:rPr>
        <w:t xml:space="preserve">. </w:t>
      </w:r>
    </w:p>
    <w:p w14:paraId="4A1A0EC7" w14:textId="77777777" w:rsidR="002F0BA5" w:rsidRDefault="002F0BA5" w:rsidP="006B5CBF">
      <w:pPr>
        <w:rPr>
          <w:rFonts w:eastAsia="Times New Roman"/>
          <w:color w:val="000000"/>
          <w:szCs w:val="24"/>
        </w:rPr>
      </w:pPr>
    </w:p>
    <w:p w14:paraId="12D70CCC" w14:textId="5F12A302" w:rsidR="002F0BA5" w:rsidRDefault="002F0BA5" w:rsidP="006B5CBF">
      <w:pPr>
        <w:rPr>
          <w:rFonts w:eastAsia="Times New Roman"/>
          <w:color w:val="000000"/>
          <w:szCs w:val="24"/>
        </w:rPr>
      </w:pPr>
      <w:r w:rsidRPr="002F0BA5">
        <w:rPr>
          <w:rFonts w:eastAsia="Times New Roman"/>
          <w:color w:val="000000"/>
          <w:szCs w:val="24"/>
        </w:rPr>
        <w:t>Considérant qu’à défaut de compensation sous la forme d'un repos compensateur, les heures supplémentaires accomplies sont indemnisées dans les conditions fixées par le décret n° 2002-60 susvisé</w:t>
      </w:r>
      <w:r>
        <w:rPr>
          <w:rFonts w:eastAsia="Times New Roman"/>
          <w:color w:val="000000"/>
          <w:szCs w:val="24"/>
        </w:rPr>
        <w:t>.</w:t>
      </w:r>
    </w:p>
    <w:p w14:paraId="25239F4E" w14:textId="77777777" w:rsidR="002F0BA5" w:rsidRPr="006B5CBF" w:rsidRDefault="002F0BA5" w:rsidP="006B5CBF">
      <w:pPr>
        <w:rPr>
          <w:rFonts w:eastAsia="Times New Roman"/>
          <w:color w:val="000000"/>
          <w:szCs w:val="24"/>
        </w:rPr>
      </w:pPr>
    </w:p>
    <w:p w14:paraId="4DC1359E" w14:textId="15B17E2C" w:rsidR="006B5CBF" w:rsidRPr="002F0BA5" w:rsidRDefault="006B5CBF" w:rsidP="006B5CBF">
      <w:pPr>
        <w:rPr>
          <w:rFonts w:eastAsia="Times New Roman"/>
          <w:i/>
          <w:iCs/>
          <w:color w:val="000000"/>
          <w:szCs w:val="24"/>
        </w:rPr>
      </w:pPr>
      <w:r w:rsidRPr="006B5CBF">
        <w:rPr>
          <w:rFonts w:eastAsia="Times New Roman"/>
          <w:color w:val="000000"/>
          <w:szCs w:val="24"/>
        </w:rPr>
        <w:t xml:space="preserve">Considérant que les instruments de décompte du temps de travail sont mis en place : </w:t>
      </w:r>
      <w:r w:rsidRPr="002F0BA5">
        <w:rPr>
          <w:rFonts w:eastAsia="Times New Roman"/>
          <w:i/>
          <w:iCs/>
          <w:color w:val="000000"/>
          <w:szCs w:val="24"/>
        </w:rPr>
        <w:t>(badgeuse, feuille de pointage…)</w:t>
      </w:r>
      <w:r w:rsidR="002F0BA5" w:rsidRPr="002F0BA5">
        <w:rPr>
          <w:rFonts w:eastAsia="Times New Roman"/>
          <w:i/>
          <w:iCs/>
          <w:color w:val="000000"/>
          <w:szCs w:val="24"/>
        </w:rPr>
        <w:t>.</w:t>
      </w:r>
    </w:p>
    <w:p w14:paraId="0832D4FB" w14:textId="77777777" w:rsidR="006B5CBF" w:rsidRPr="006B5CBF" w:rsidRDefault="006B5CBF" w:rsidP="006B5CBF">
      <w:pPr>
        <w:rPr>
          <w:rFonts w:eastAsia="Times New Roman"/>
          <w:color w:val="000000"/>
          <w:szCs w:val="24"/>
        </w:rPr>
      </w:pPr>
    </w:p>
    <w:p w14:paraId="1E888E7B" w14:textId="09A73499" w:rsidR="002F0BA5" w:rsidRPr="002F0BA5" w:rsidRDefault="002F0BA5" w:rsidP="002F0BA5">
      <w:pPr>
        <w:rPr>
          <w:rFonts w:eastAsia="Times New Roman"/>
          <w:snapToGrid w:val="0"/>
          <w:color w:val="000000"/>
        </w:rPr>
      </w:pPr>
      <w:r w:rsidRPr="002F0BA5">
        <w:rPr>
          <w:rFonts w:eastAsia="Times New Roman"/>
          <w:snapToGrid w:val="0"/>
          <w:color w:val="000000"/>
        </w:rPr>
        <w:t>Considérant que le bon fonctionnement des services peut nécessiter la réalisation d’heures supplémentaires</w:t>
      </w:r>
      <w:r>
        <w:rPr>
          <w:rFonts w:eastAsia="Times New Roman"/>
          <w:snapToGrid w:val="0"/>
          <w:color w:val="000000"/>
        </w:rPr>
        <w:t>.</w:t>
      </w:r>
    </w:p>
    <w:p w14:paraId="14CE1F2F" w14:textId="77777777" w:rsidR="006B5CBF" w:rsidRPr="006B5CBF" w:rsidRDefault="006B5CBF" w:rsidP="006B5CBF">
      <w:pPr>
        <w:rPr>
          <w:rFonts w:eastAsia="Times New Roman"/>
          <w:snapToGrid w:val="0"/>
          <w:color w:val="000000"/>
        </w:rPr>
      </w:pPr>
    </w:p>
    <w:p w14:paraId="428F0F43" w14:textId="0122D19E" w:rsidR="006B5CBF" w:rsidRPr="006B5CBF" w:rsidRDefault="006B5CBF" w:rsidP="006B5CBF">
      <w:pPr>
        <w:rPr>
          <w:rFonts w:eastAsia="Times New Roman"/>
          <w:bCs/>
          <w:szCs w:val="24"/>
        </w:rPr>
      </w:pPr>
      <w:r>
        <w:rPr>
          <w:rFonts w:eastAsia="Times New Roman"/>
          <w:bCs/>
          <w:szCs w:val="24"/>
        </w:rPr>
        <w:t xml:space="preserve">Le maire/le président propose à l’assemblée : </w:t>
      </w:r>
    </w:p>
    <w:p w14:paraId="6DCE4256" w14:textId="2FD05033" w:rsidR="006B5CBF" w:rsidRDefault="006B5CBF" w:rsidP="006B5CBF">
      <w:pPr>
        <w:rPr>
          <w:rFonts w:eastAsia="Times New Roman"/>
          <w:snapToGrid w:val="0"/>
          <w:color w:val="000000"/>
        </w:rPr>
      </w:pPr>
    </w:p>
    <w:p w14:paraId="65A17809" w14:textId="77777777" w:rsidR="006B5CBF" w:rsidRPr="006B5CBF" w:rsidRDefault="006B5CBF" w:rsidP="006B5CBF">
      <w:pPr>
        <w:rPr>
          <w:rFonts w:eastAsia="Times New Roman"/>
          <w:bCs/>
          <w:snapToGrid w:val="0"/>
        </w:rPr>
      </w:pPr>
    </w:p>
    <w:p w14:paraId="1CD3C46C" w14:textId="07ABB6BC" w:rsidR="006B5CBF" w:rsidRPr="006B5CBF" w:rsidRDefault="006B5CBF" w:rsidP="006B5CBF">
      <w:pPr>
        <w:rPr>
          <w:rFonts w:eastAsia="Times New Roman"/>
          <w:b/>
          <w:snapToGrid w:val="0"/>
        </w:rPr>
      </w:pPr>
      <w:r w:rsidRPr="006B5CBF">
        <w:rPr>
          <w:rFonts w:eastAsia="Times New Roman"/>
          <w:b/>
          <w:snapToGrid w:val="0"/>
          <w:u w:val="single"/>
        </w:rPr>
        <w:t>Article 1</w:t>
      </w:r>
      <w:r w:rsidRPr="006B5CBF">
        <w:rPr>
          <w:rFonts w:eastAsia="Times New Roman"/>
          <w:b/>
          <w:snapToGrid w:val="0"/>
        </w:rPr>
        <w:t> : Bénéficiaires de l'I.H.T.S.</w:t>
      </w:r>
    </w:p>
    <w:p w14:paraId="618DF441" w14:textId="77777777" w:rsidR="006B5CBF" w:rsidRPr="006B5CBF" w:rsidRDefault="006B5CBF" w:rsidP="006B5CBF">
      <w:pPr>
        <w:rPr>
          <w:rFonts w:eastAsia="Times New Roman"/>
          <w:bCs/>
          <w:snapToGrid w:val="0"/>
        </w:rPr>
      </w:pPr>
    </w:p>
    <w:p w14:paraId="6BE6763B" w14:textId="3F8567D6" w:rsidR="002F0BA5" w:rsidRDefault="002F0BA5" w:rsidP="002F0BA5">
      <w:pPr>
        <w:rPr>
          <w:rFonts w:eastAsia="Times New Roman"/>
          <w:snapToGrid w:val="0"/>
          <w:color w:val="000000"/>
        </w:rPr>
      </w:pPr>
    </w:p>
    <w:p w14:paraId="70873D87" w14:textId="5DE8FF2E" w:rsidR="00E220FA" w:rsidRPr="00E220FA" w:rsidRDefault="00E220FA" w:rsidP="00E220FA">
      <w:pPr>
        <w:rPr>
          <w:rFonts w:eastAsia="Times New Roman"/>
          <w:snapToGrid w:val="0"/>
          <w:color w:val="000000"/>
        </w:rPr>
      </w:pPr>
      <w:r w:rsidRPr="00E220FA">
        <w:rPr>
          <w:rFonts w:eastAsia="Times New Roman"/>
          <w:snapToGrid w:val="0"/>
          <w:color w:val="000000"/>
        </w:rPr>
        <w:t>L’indemnité horaire pour travaux supplémentaire pourra être versée aux fonctionnaires territoriaux titulaires ou stagiaires</w:t>
      </w:r>
      <w:r w:rsidR="00724058">
        <w:rPr>
          <w:rFonts w:eastAsia="Times New Roman"/>
          <w:snapToGrid w:val="0"/>
          <w:color w:val="000000"/>
        </w:rPr>
        <w:t>, ainsi qu’aux agents contractuels</w:t>
      </w:r>
      <w:r w:rsidRPr="00E220FA">
        <w:rPr>
          <w:rFonts w:eastAsia="Times New Roman"/>
          <w:snapToGrid w:val="0"/>
          <w:color w:val="000000"/>
        </w:rPr>
        <w:t xml:space="preserve"> employés à temps complet</w:t>
      </w:r>
      <w:r>
        <w:rPr>
          <w:rFonts w:eastAsia="Times New Roman"/>
          <w:snapToGrid w:val="0"/>
          <w:color w:val="000000"/>
        </w:rPr>
        <w:t xml:space="preserve"> et</w:t>
      </w:r>
      <w:r w:rsidRPr="00E220FA">
        <w:rPr>
          <w:rFonts w:eastAsia="Times New Roman"/>
          <w:snapToGrid w:val="0"/>
          <w:color w:val="000000"/>
        </w:rPr>
        <w:t xml:space="preserve"> temps non complet, appartenant aux catégories C ou B,</w:t>
      </w:r>
    </w:p>
    <w:p w14:paraId="7BED5946" w14:textId="77777777" w:rsidR="00E220FA" w:rsidRPr="002F0BA5" w:rsidRDefault="00E220FA" w:rsidP="002F0BA5">
      <w:pPr>
        <w:rPr>
          <w:rFonts w:eastAsia="Times New Roman"/>
          <w:snapToGrid w:val="0"/>
          <w:color w:val="000000"/>
        </w:rPr>
      </w:pPr>
    </w:p>
    <w:p w14:paraId="302B4967" w14:textId="22E14E07" w:rsidR="006B5CBF" w:rsidRPr="006B5CBF" w:rsidRDefault="002F0BA5" w:rsidP="006B5CBF">
      <w:pPr>
        <w:rPr>
          <w:rFonts w:eastAsia="Times New Roman"/>
          <w:snapToGrid w:val="0"/>
          <w:color w:val="000000"/>
        </w:rPr>
      </w:pPr>
      <w:r w:rsidRPr="002F0BA5">
        <w:rPr>
          <w:rFonts w:eastAsia="Times New Roman"/>
          <w:snapToGrid w:val="0"/>
          <w:color w:val="000000"/>
        </w:rPr>
        <w:t>En raison des missions exercées et dans la limite des textes applicables aux agents de l’Etat, les emplois concernés par la présente délibération sont :</w:t>
      </w:r>
    </w:p>
    <w:p w14:paraId="74DD4DC5" w14:textId="77777777" w:rsidR="006B5CBF" w:rsidRPr="006B5CBF" w:rsidRDefault="006B5CBF" w:rsidP="006B5CBF">
      <w:pPr>
        <w:rPr>
          <w:rFonts w:eastAsia="Times New Roman"/>
          <w:snapToGrid w:val="0"/>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9"/>
        <w:gridCol w:w="2318"/>
        <w:gridCol w:w="3664"/>
      </w:tblGrid>
      <w:tr w:rsidR="006B5CBF" w:rsidRPr="006B5CBF" w14:paraId="14CCD7D9" w14:textId="77777777" w:rsidTr="00BB4330">
        <w:trPr>
          <w:jc w:val="center"/>
        </w:trPr>
        <w:tc>
          <w:tcPr>
            <w:tcW w:w="2039" w:type="dxa"/>
          </w:tcPr>
          <w:p w14:paraId="68FD64FE" w14:textId="77777777" w:rsidR="006B5CBF" w:rsidRPr="006B5CBF" w:rsidRDefault="006B5CBF" w:rsidP="006B5CBF">
            <w:pPr>
              <w:rPr>
                <w:rFonts w:eastAsia="Times New Roman"/>
                <w:snapToGrid w:val="0"/>
                <w:color w:val="000000"/>
              </w:rPr>
            </w:pPr>
            <w:r w:rsidRPr="006B5CBF">
              <w:rPr>
                <w:rFonts w:eastAsia="Times New Roman"/>
                <w:snapToGrid w:val="0"/>
                <w:color w:val="000000"/>
              </w:rPr>
              <w:t>Filière</w:t>
            </w:r>
          </w:p>
        </w:tc>
        <w:tc>
          <w:tcPr>
            <w:tcW w:w="2318" w:type="dxa"/>
          </w:tcPr>
          <w:p w14:paraId="5C1860BA" w14:textId="42777339" w:rsidR="006B5CBF" w:rsidRPr="006B5CBF" w:rsidRDefault="006B5CBF" w:rsidP="006B5CBF">
            <w:pPr>
              <w:rPr>
                <w:rFonts w:eastAsia="Times New Roman"/>
                <w:snapToGrid w:val="0"/>
                <w:color w:val="000000"/>
              </w:rPr>
            </w:pPr>
            <w:r>
              <w:rPr>
                <w:rFonts w:eastAsia="Times New Roman"/>
                <w:snapToGrid w:val="0"/>
                <w:color w:val="000000"/>
              </w:rPr>
              <w:t>G</w:t>
            </w:r>
            <w:r w:rsidRPr="006B5CBF">
              <w:rPr>
                <w:rFonts w:eastAsia="Times New Roman"/>
                <w:snapToGrid w:val="0"/>
                <w:color w:val="000000"/>
              </w:rPr>
              <w:t>rade</w:t>
            </w:r>
          </w:p>
        </w:tc>
        <w:tc>
          <w:tcPr>
            <w:tcW w:w="3664" w:type="dxa"/>
          </w:tcPr>
          <w:p w14:paraId="2E43B476" w14:textId="77777777" w:rsidR="006B5CBF" w:rsidRPr="006B5CBF" w:rsidRDefault="006B5CBF" w:rsidP="006B5CBF">
            <w:pPr>
              <w:rPr>
                <w:rFonts w:eastAsia="Times New Roman"/>
                <w:snapToGrid w:val="0"/>
                <w:color w:val="000000"/>
              </w:rPr>
            </w:pPr>
            <w:r w:rsidRPr="006B5CBF">
              <w:rPr>
                <w:rFonts w:eastAsia="Times New Roman"/>
                <w:snapToGrid w:val="0"/>
                <w:color w:val="000000"/>
              </w:rPr>
              <w:t xml:space="preserve">Fonctions ou service </w:t>
            </w:r>
          </w:p>
          <w:p w14:paraId="766ED420" w14:textId="77777777" w:rsidR="006B5CBF" w:rsidRPr="006B5CBF" w:rsidRDefault="006B5CBF" w:rsidP="006B5CBF">
            <w:pPr>
              <w:rPr>
                <w:rFonts w:eastAsia="Times New Roman"/>
                <w:snapToGrid w:val="0"/>
                <w:color w:val="000000"/>
              </w:rPr>
            </w:pPr>
            <w:r w:rsidRPr="006B5CBF">
              <w:rPr>
                <w:rFonts w:eastAsia="Times New Roman"/>
                <w:snapToGrid w:val="0"/>
                <w:color w:val="000000"/>
              </w:rPr>
              <w:t>(</w:t>
            </w:r>
            <w:proofErr w:type="gramStart"/>
            <w:r w:rsidRPr="006B5CBF">
              <w:rPr>
                <w:rFonts w:eastAsia="Times New Roman"/>
                <w:snapToGrid w:val="0"/>
                <w:color w:val="000000"/>
              </w:rPr>
              <w:t>le</w:t>
            </w:r>
            <w:proofErr w:type="gramEnd"/>
            <w:r w:rsidRPr="006B5CBF">
              <w:rPr>
                <w:rFonts w:eastAsia="Times New Roman"/>
                <w:snapToGrid w:val="0"/>
                <w:color w:val="000000"/>
              </w:rPr>
              <w:t xml:space="preserve"> cas échéant)</w:t>
            </w:r>
          </w:p>
        </w:tc>
      </w:tr>
      <w:tr w:rsidR="006B5CBF" w:rsidRPr="006B5CBF" w14:paraId="137AEBAB" w14:textId="77777777" w:rsidTr="00BB4330">
        <w:trPr>
          <w:jc w:val="center"/>
        </w:trPr>
        <w:tc>
          <w:tcPr>
            <w:tcW w:w="2039" w:type="dxa"/>
          </w:tcPr>
          <w:p w14:paraId="11815C01" w14:textId="77777777" w:rsidR="006B5CBF" w:rsidRPr="006B5CBF" w:rsidRDefault="006B5CBF" w:rsidP="006B5CBF">
            <w:pPr>
              <w:rPr>
                <w:rFonts w:eastAsia="Times New Roman"/>
                <w:snapToGrid w:val="0"/>
                <w:color w:val="000000"/>
              </w:rPr>
            </w:pPr>
          </w:p>
        </w:tc>
        <w:tc>
          <w:tcPr>
            <w:tcW w:w="2318" w:type="dxa"/>
          </w:tcPr>
          <w:p w14:paraId="2AB3405F" w14:textId="77777777" w:rsidR="006B5CBF" w:rsidRPr="006B5CBF" w:rsidRDefault="006B5CBF" w:rsidP="006B5CBF">
            <w:pPr>
              <w:rPr>
                <w:rFonts w:eastAsia="Times New Roman"/>
                <w:snapToGrid w:val="0"/>
                <w:color w:val="000000"/>
              </w:rPr>
            </w:pPr>
          </w:p>
        </w:tc>
        <w:tc>
          <w:tcPr>
            <w:tcW w:w="3664" w:type="dxa"/>
          </w:tcPr>
          <w:p w14:paraId="39B94438" w14:textId="77777777" w:rsidR="006B5CBF" w:rsidRPr="006B5CBF" w:rsidRDefault="006B5CBF" w:rsidP="006B5CBF">
            <w:pPr>
              <w:rPr>
                <w:rFonts w:eastAsia="Times New Roman"/>
                <w:snapToGrid w:val="0"/>
                <w:color w:val="000000"/>
              </w:rPr>
            </w:pPr>
          </w:p>
        </w:tc>
      </w:tr>
      <w:tr w:rsidR="002F0BA5" w:rsidRPr="006B5CBF" w14:paraId="2EB97A41" w14:textId="77777777" w:rsidTr="00BB4330">
        <w:trPr>
          <w:jc w:val="center"/>
        </w:trPr>
        <w:tc>
          <w:tcPr>
            <w:tcW w:w="2039" w:type="dxa"/>
          </w:tcPr>
          <w:p w14:paraId="7844D02A" w14:textId="1C93DAD8" w:rsidR="002F0BA5" w:rsidRPr="006B5CBF" w:rsidRDefault="002F0BA5" w:rsidP="006B5CBF">
            <w:pPr>
              <w:rPr>
                <w:rFonts w:eastAsia="Times New Roman"/>
                <w:snapToGrid w:val="0"/>
                <w:color w:val="000000"/>
              </w:rPr>
            </w:pPr>
          </w:p>
        </w:tc>
        <w:tc>
          <w:tcPr>
            <w:tcW w:w="2318" w:type="dxa"/>
          </w:tcPr>
          <w:p w14:paraId="02F2DF96" w14:textId="77777777" w:rsidR="002F0BA5" w:rsidRPr="006B5CBF" w:rsidRDefault="002F0BA5" w:rsidP="006B5CBF">
            <w:pPr>
              <w:rPr>
                <w:rFonts w:eastAsia="Times New Roman"/>
                <w:snapToGrid w:val="0"/>
                <w:color w:val="000000"/>
              </w:rPr>
            </w:pPr>
          </w:p>
        </w:tc>
        <w:tc>
          <w:tcPr>
            <w:tcW w:w="3664" w:type="dxa"/>
          </w:tcPr>
          <w:p w14:paraId="3A782894" w14:textId="77777777" w:rsidR="002F0BA5" w:rsidRPr="006B5CBF" w:rsidRDefault="002F0BA5" w:rsidP="006B5CBF">
            <w:pPr>
              <w:rPr>
                <w:rFonts w:eastAsia="Times New Roman"/>
                <w:snapToGrid w:val="0"/>
                <w:color w:val="000000"/>
              </w:rPr>
            </w:pPr>
          </w:p>
        </w:tc>
      </w:tr>
      <w:tr w:rsidR="006B5CBF" w:rsidRPr="006B5CBF" w14:paraId="03E17EB6" w14:textId="77777777" w:rsidTr="00BB4330">
        <w:trPr>
          <w:jc w:val="center"/>
        </w:trPr>
        <w:tc>
          <w:tcPr>
            <w:tcW w:w="2039" w:type="dxa"/>
          </w:tcPr>
          <w:p w14:paraId="6DAFB1FF" w14:textId="77777777" w:rsidR="006B5CBF" w:rsidRPr="006B5CBF" w:rsidRDefault="006B5CBF" w:rsidP="006B5CBF">
            <w:pPr>
              <w:rPr>
                <w:rFonts w:eastAsia="Times New Roman"/>
                <w:snapToGrid w:val="0"/>
                <w:color w:val="000000"/>
              </w:rPr>
            </w:pPr>
          </w:p>
        </w:tc>
        <w:tc>
          <w:tcPr>
            <w:tcW w:w="2318" w:type="dxa"/>
          </w:tcPr>
          <w:p w14:paraId="084C6A4B" w14:textId="77777777" w:rsidR="006B5CBF" w:rsidRPr="006B5CBF" w:rsidRDefault="006B5CBF" w:rsidP="006B5CBF">
            <w:pPr>
              <w:rPr>
                <w:rFonts w:eastAsia="Times New Roman"/>
                <w:snapToGrid w:val="0"/>
                <w:color w:val="000000"/>
              </w:rPr>
            </w:pPr>
          </w:p>
        </w:tc>
        <w:tc>
          <w:tcPr>
            <w:tcW w:w="3664" w:type="dxa"/>
          </w:tcPr>
          <w:p w14:paraId="76966D06" w14:textId="77777777" w:rsidR="006B5CBF" w:rsidRPr="006B5CBF" w:rsidRDefault="006B5CBF" w:rsidP="006B5CBF">
            <w:pPr>
              <w:rPr>
                <w:rFonts w:eastAsia="Times New Roman"/>
                <w:snapToGrid w:val="0"/>
                <w:color w:val="000000"/>
              </w:rPr>
            </w:pPr>
          </w:p>
        </w:tc>
      </w:tr>
      <w:tr w:rsidR="006B5CBF" w:rsidRPr="006B5CBF" w14:paraId="1DE4899C" w14:textId="77777777" w:rsidTr="00BB4330">
        <w:trPr>
          <w:jc w:val="center"/>
        </w:trPr>
        <w:tc>
          <w:tcPr>
            <w:tcW w:w="2039" w:type="dxa"/>
          </w:tcPr>
          <w:p w14:paraId="7CC6C595" w14:textId="77777777" w:rsidR="006B5CBF" w:rsidRPr="006B5CBF" w:rsidRDefault="006B5CBF" w:rsidP="006B5CBF">
            <w:pPr>
              <w:rPr>
                <w:rFonts w:eastAsia="Times New Roman"/>
                <w:snapToGrid w:val="0"/>
                <w:color w:val="000000"/>
              </w:rPr>
            </w:pPr>
          </w:p>
        </w:tc>
        <w:tc>
          <w:tcPr>
            <w:tcW w:w="2318" w:type="dxa"/>
          </w:tcPr>
          <w:p w14:paraId="7096F18B" w14:textId="77777777" w:rsidR="006B5CBF" w:rsidRPr="006B5CBF" w:rsidRDefault="006B5CBF" w:rsidP="006B5CBF">
            <w:pPr>
              <w:rPr>
                <w:rFonts w:eastAsia="Times New Roman"/>
                <w:snapToGrid w:val="0"/>
                <w:color w:val="000000"/>
              </w:rPr>
            </w:pPr>
          </w:p>
        </w:tc>
        <w:tc>
          <w:tcPr>
            <w:tcW w:w="3664" w:type="dxa"/>
          </w:tcPr>
          <w:p w14:paraId="69BD4A9E" w14:textId="77777777" w:rsidR="006B5CBF" w:rsidRPr="006B5CBF" w:rsidRDefault="006B5CBF" w:rsidP="006B5CBF">
            <w:pPr>
              <w:rPr>
                <w:rFonts w:eastAsia="Times New Roman"/>
                <w:snapToGrid w:val="0"/>
                <w:color w:val="000000"/>
              </w:rPr>
            </w:pPr>
          </w:p>
        </w:tc>
      </w:tr>
    </w:tbl>
    <w:p w14:paraId="637FE2F6" w14:textId="77777777" w:rsidR="006B5CBF" w:rsidRPr="006B5CBF" w:rsidRDefault="006B5CBF" w:rsidP="006B5CBF">
      <w:pPr>
        <w:rPr>
          <w:rFonts w:eastAsia="Times New Roman"/>
          <w:snapToGrid w:val="0"/>
          <w:color w:val="000000"/>
        </w:rPr>
      </w:pPr>
    </w:p>
    <w:p w14:paraId="4AEE537A" w14:textId="182AC184" w:rsidR="002F0BA5" w:rsidRPr="002F0BA5" w:rsidRDefault="002F0BA5" w:rsidP="006B5CBF">
      <w:pPr>
        <w:rPr>
          <w:rFonts w:eastAsia="Times New Roman"/>
          <w:b/>
          <w:bCs/>
          <w:snapToGrid w:val="0"/>
          <w:color w:val="000000"/>
        </w:rPr>
      </w:pPr>
      <w:r w:rsidRPr="002F0BA5">
        <w:rPr>
          <w:rFonts w:eastAsia="Times New Roman"/>
          <w:b/>
          <w:bCs/>
          <w:snapToGrid w:val="0"/>
          <w:color w:val="000000"/>
          <w:u w:val="single"/>
        </w:rPr>
        <w:t>Article 2</w:t>
      </w:r>
      <w:r w:rsidRPr="002F0BA5">
        <w:rPr>
          <w:rFonts w:eastAsia="Times New Roman"/>
          <w:b/>
          <w:bCs/>
          <w:snapToGrid w:val="0"/>
          <w:color w:val="000000"/>
        </w:rPr>
        <w:t xml:space="preserve"> : </w:t>
      </w:r>
      <w:r>
        <w:rPr>
          <w:rFonts w:eastAsia="Times New Roman"/>
          <w:b/>
          <w:bCs/>
          <w:snapToGrid w:val="0"/>
          <w:color w:val="000000"/>
        </w:rPr>
        <w:t>Conditions de versement</w:t>
      </w:r>
    </w:p>
    <w:p w14:paraId="493F024B" w14:textId="77777777" w:rsidR="002F0BA5" w:rsidRDefault="002F0BA5" w:rsidP="006B5CBF">
      <w:pPr>
        <w:rPr>
          <w:rFonts w:eastAsia="Times New Roman"/>
          <w:snapToGrid w:val="0"/>
          <w:color w:val="000000"/>
        </w:rPr>
      </w:pPr>
    </w:p>
    <w:p w14:paraId="27E2179F" w14:textId="77777777" w:rsidR="001F4918" w:rsidRPr="001F4918" w:rsidRDefault="006B5CBF" w:rsidP="001F4918">
      <w:pPr>
        <w:rPr>
          <w:rFonts w:eastAsia="Times New Roman"/>
          <w:snapToGrid w:val="0"/>
          <w:color w:val="000000"/>
        </w:rPr>
      </w:pPr>
      <w:r w:rsidRPr="006B5CBF">
        <w:rPr>
          <w:rFonts w:eastAsia="Times New Roman"/>
          <w:snapToGrid w:val="0"/>
          <w:color w:val="000000"/>
        </w:rPr>
        <w:t xml:space="preserve">Les indemnités horaires pour travaux supplémentaires sont attribuées dans le cadre de la réalisation effective de travaux supplémentaires demandés par l'autorité territoriale ou le chef de service et </w:t>
      </w:r>
      <w:r w:rsidR="001F4918" w:rsidRPr="001F4918">
        <w:rPr>
          <w:rFonts w:eastAsia="Times New Roman"/>
          <w:snapToGrid w:val="0"/>
          <w:color w:val="000000"/>
        </w:rPr>
        <w:t>conformément au décret du 14 janvier 2002 susvisé.</w:t>
      </w:r>
    </w:p>
    <w:p w14:paraId="66DA32A2" w14:textId="77777777" w:rsidR="00E220FA" w:rsidRDefault="00E220FA" w:rsidP="006B5CBF">
      <w:pPr>
        <w:rPr>
          <w:rFonts w:eastAsia="Times New Roman"/>
          <w:snapToGrid w:val="0"/>
          <w:color w:val="000000"/>
        </w:rPr>
      </w:pPr>
    </w:p>
    <w:p w14:paraId="3C32E789" w14:textId="320541CF" w:rsidR="006B5CBF" w:rsidRPr="006B5CBF" w:rsidRDefault="00E220FA" w:rsidP="006B5CBF">
      <w:pPr>
        <w:rPr>
          <w:rFonts w:eastAsia="Times New Roman"/>
          <w:snapToGrid w:val="0"/>
          <w:color w:val="000000"/>
        </w:rPr>
      </w:pPr>
      <w:r w:rsidRPr="00E220FA">
        <w:rPr>
          <w:rFonts w:eastAsia="Times New Roman"/>
          <w:snapToGrid w:val="0"/>
          <w:color w:val="000000"/>
        </w:rPr>
        <w:t xml:space="preserve">Le versement des indemnités horaires pour travaux supplémentaires à ces </w:t>
      </w:r>
      <w:r w:rsidR="00A52CA8">
        <w:rPr>
          <w:rFonts w:eastAsia="Times New Roman"/>
          <w:snapToGrid w:val="0"/>
          <w:color w:val="000000"/>
        </w:rPr>
        <w:t xml:space="preserve">agents </w:t>
      </w:r>
      <w:r w:rsidRPr="00E220FA">
        <w:rPr>
          <w:rFonts w:eastAsia="Times New Roman"/>
          <w:snapToGrid w:val="0"/>
          <w:color w:val="000000"/>
        </w:rPr>
        <w:t xml:space="preserve">est subordonné à la mise en œuvre par leur employeur de moyens de contrôle automatisé permettant de comptabiliser de façon exacte les heures supplémentaires qu'ils auront accomplies. S'agissant des personnels exerçant leur activité hors de leurs locaux de rattachement, un décompte déclaratif contrôlable peut remplacer le dispositif de contrôle automatisé. Un décompte déclaratif peut également être utilisé pour les sites dont l'effectif des agents susceptibles de percevoir des indemnités horaires pour travaux supplémentaires est inférieur à </w:t>
      </w:r>
      <w:r>
        <w:rPr>
          <w:rFonts w:eastAsia="Times New Roman"/>
          <w:snapToGrid w:val="0"/>
          <w:color w:val="000000"/>
        </w:rPr>
        <w:t>dix</w:t>
      </w:r>
      <w:r w:rsidRPr="00E220FA">
        <w:rPr>
          <w:rFonts w:eastAsia="Times New Roman"/>
          <w:snapToGrid w:val="0"/>
          <w:color w:val="000000"/>
        </w:rPr>
        <w:t>.</w:t>
      </w:r>
    </w:p>
    <w:p w14:paraId="07E94964" w14:textId="77777777" w:rsidR="006B5CBF" w:rsidRPr="006B5CBF" w:rsidRDefault="006B5CBF" w:rsidP="006B5CBF">
      <w:pPr>
        <w:rPr>
          <w:rFonts w:eastAsia="Times New Roman"/>
          <w:snapToGrid w:val="0"/>
          <w:color w:val="000000"/>
        </w:rPr>
      </w:pPr>
    </w:p>
    <w:p w14:paraId="1BB133E8" w14:textId="2EFEC69D" w:rsidR="006B5CBF" w:rsidRPr="006B5CBF" w:rsidRDefault="006B5CBF" w:rsidP="006B5CBF">
      <w:pPr>
        <w:rPr>
          <w:rFonts w:eastAsia="Times New Roman"/>
          <w:snapToGrid w:val="0"/>
          <w:color w:val="000000"/>
        </w:rPr>
      </w:pPr>
      <w:r w:rsidRPr="006B5CBF">
        <w:rPr>
          <w:rFonts w:eastAsia="Times New Roman"/>
          <w:snapToGrid w:val="0"/>
          <w:color w:val="000000"/>
        </w:rPr>
        <w:t xml:space="preserve">Le versement de ces indemnités est limité à un contingent mensuel de 25 heures par mois et par agent. </w:t>
      </w:r>
    </w:p>
    <w:p w14:paraId="7821160E" w14:textId="77777777" w:rsidR="006B5CBF" w:rsidRPr="006B5CBF" w:rsidRDefault="006B5CBF" w:rsidP="006B5CBF">
      <w:pPr>
        <w:rPr>
          <w:rFonts w:eastAsia="Times New Roman"/>
          <w:snapToGrid w:val="0"/>
          <w:color w:val="000000"/>
        </w:rPr>
      </w:pPr>
    </w:p>
    <w:p w14:paraId="552475F7" w14:textId="62391DC9" w:rsidR="00440A51" w:rsidRDefault="006B5CBF" w:rsidP="006B5CBF">
      <w:pPr>
        <w:rPr>
          <w:rFonts w:eastAsia="Times New Roman"/>
          <w:snapToGrid w:val="0"/>
          <w:color w:val="000000"/>
        </w:rPr>
      </w:pPr>
      <w:r w:rsidRPr="006B5CBF">
        <w:rPr>
          <w:rFonts w:eastAsia="Times New Roman"/>
          <w:snapToGrid w:val="0"/>
          <w:color w:val="000000"/>
        </w:rPr>
        <w:t>Lorsque les circonstances exceptionnelles le justifient et pour une période limitée, le contingent mensuel peut être dépassé sur décision du chef de service qui en informe immédiatement les représentants du personnel du Comité</w:t>
      </w:r>
      <w:r w:rsidR="00C34F73">
        <w:rPr>
          <w:rFonts w:eastAsia="Times New Roman"/>
          <w:snapToGrid w:val="0"/>
          <w:color w:val="000000"/>
        </w:rPr>
        <w:t xml:space="preserve"> Social</w:t>
      </w:r>
      <w:r w:rsidRPr="006B5CBF">
        <w:rPr>
          <w:rFonts w:eastAsia="Times New Roman"/>
          <w:snapToGrid w:val="0"/>
          <w:color w:val="000000"/>
        </w:rPr>
        <w:t xml:space="preserve"> Te</w:t>
      </w:r>
      <w:r w:rsidR="00C34F73">
        <w:rPr>
          <w:rFonts w:eastAsia="Times New Roman"/>
          <w:snapToGrid w:val="0"/>
          <w:color w:val="000000"/>
        </w:rPr>
        <w:t>rritorial</w:t>
      </w:r>
      <w:r w:rsidRPr="006B5CBF">
        <w:rPr>
          <w:rFonts w:eastAsia="Times New Roman"/>
          <w:snapToGrid w:val="0"/>
          <w:color w:val="000000"/>
        </w:rPr>
        <w:t xml:space="preserve">. A titre exceptionnel, des dérogations peuvent être accordées après consultation dudit Comité, pour certaines fonctions. </w:t>
      </w:r>
    </w:p>
    <w:p w14:paraId="71682036" w14:textId="77777777" w:rsidR="00440A51" w:rsidRDefault="00440A51" w:rsidP="006B5CBF">
      <w:pPr>
        <w:rPr>
          <w:rFonts w:eastAsia="Times New Roman"/>
          <w:snapToGrid w:val="0"/>
          <w:color w:val="000000"/>
        </w:rPr>
      </w:pPr>
    </w:p>
    <w:p w14:paraId="60D1EA43" w14:textId="7BCB45E2" w:rsidR="00E220FA" w:rsidRDefault="00E220FA" w:rsidP="006B5CBF">
      <w:pPr>
        <w:rPr>
          <w:rFonts w:eastAsia="Times New Roman"/>
          <w:snapToGrid w:val="0"/>
          <w:color w:val="000000"/>
        </w:rPr>
      </w:pPr>
      <w:r w:rsidRPr="00E220FA">
        <w:rPr>
          <w:rFonts w:eastAsia="Times New Roman"/>
          <w:snapToGrid w:val="0"/>
          <w:color w:val="000000"/>
        </w:rPr>
        <w:t>Une même heure supplémentaire ne peut donner lieu à la fois à un repos compensateur et à une indemnisation.</w:t>
      </w:r>
    </w:p>
    <w:p w14:paraId="1108B0A9" w14:textId="156DFDC4" w:rsidR="00E220FA" w:rsidRDefault="00E220FA" w:rsidP="006B5CBF">
      <w:pPr>
        <w:rPr>
          <w:rFonts w:eastAsia="Times New Roman"/>
          <w:snapToGrid w:val="0"/>
          <w:color w:val="000000"/>
        </w:rPr>
      </w:pPr>
    </w:p>
    <w:p w14:paraId="37AD0EC9" w14:textId="243CFA5B" w:rsidR="00E220FA" w:rsidRDefault="00E220FA" w:rsidP="006B5CBF">
      <w:pPr>
        <w:rPr>
          <w:rFonts w:eastAsia="Times New Roman"/>
          <w:b/>
          <w:bCs/>
          <w:snapToGrid w:val="0"/>
          <w:color w:val="000000"/>
        </w:rPr>
      </w:pPr>
      <w:r w:rsidRPr="00E220FA">
        <w:rPr>
          <w:rFonts w:eastAsia="Times New Roman"/>
          <w:b/>
          <w:bCs/>
          <w:snapToGrid w:val="0"/>
          <w:color w:val="000000"/>
          <w:u w:val="single"/>
        </w:rPr>
        <w:t>Article 3</w:t>
      </w:r>
      <w:r w:rsidRPr="00E220FA">
        <w:rPr>
          <w:rFonts w:eastAsia="Times New Roman"/>
          <w:b/>
          <w:bCs/>
          <w:snapToGrid w:val="0"/>
          <w:color w:val="000000"/>
        </w:rPr>
        <w:t> : Conditions d’indemnisation</w:t>
      </w:r>
    </w:p>
    <w:p w14:paraId="525D3C8A" w14:textId="5DE85EE9" w:rsidR="00E220FA" w:rsidRDefault="00E220FA" w:rsidP="006B5CBF">
      <w:pPr>
        <w:rPr>
          <w:rFonts w:eastAsia="Times New Roman"/>
          <w:b/>
          <w:bCs/>
          <w:snapToGrid w:val="0"/>
          <w:color w:val="000000"/>
        </w:rPr>
      </w:pPr>
    </w:p>
    <w:p w14:paraId="61ED5F29" w14:textId="77777777" w:rsidR="00E220FA" w:rsidRPr="00E220FA" w:rsidRDefault="00E220FA" w:rsidP="00E220FA">
      <w:pPr>
        <w:rPr>
          <w:rFonts w:eastAsia="Times New Roman"/>
          <w:snapToGrid w:val="0"/>
          <w:color w:val="000000"/>
        </w:rPr>
      </w:pPr>
      <w:r w:rsidRPr="00E220FA">
        <w:rPr>
          <w:rFonts w:eastAsia="Times New Roman"/>
          <w:snapToGrid w:val="0"/>
          <w:color w:val="000000"/>
        </w:rPr>
        <w:t>Pour les agents à temps complet la rémunération horaire des heures supplémentaires est calculée sur la base d’un taux horaire prenant pour base le montant du traitement brut annuel de l’agent et de l’indemnité de résidence divisée par 1 820. Ce taux horaire est ensuite majoré de 125 % pour les quatorze premières heures puis de 127 % pour les heures suivantes.</w:t>
      </w:r>
    </w:p>
    <w:p w14:paraId="06663AD2" w14:textId="77777777" w:rsidR="00E220FA" w:rsidRDefault="00E220FA" w:rsidP="00E220FA">
      <w:pPr>
        <w:rPr>
          <w:rFonts w:eastAsia="Times New Roman"/>
          <w:snapToGrid w:val="0"/>
          <w:color w:val="000000"/>
        </w:rPr>
      </w:pPr>
    </w:p>
    <w:p w14:paraId="6A68887A" w14:textId="4F1D4952" w:rsidR="00E220FA" w:rsidRPr="00E220FA" w:rsidRDefault="00E220FA" w:rsidP="00E220FA">
      <w:pPr>
        <w:rPr>
          <w:rFonts w:eastAsia="Times New Roman"/>
          <w:snapToGrid w:val="0"/>
          <w:color w:val="000000"/>
        </w:rPr>
      </w:pPr>
      <w:r w:rsidRPr="00E220FA">
        <w:rPr>
          <w:rFonts w:eastAsia="Times New Roman"/>
          <w:snapToGrid w:val="0"/>
          <w:color w:val="000000"/>
        </w:rPr>
        <w:t>En outre, l’heure supplémentaire est majorée de 100 % lorsqu’elle est effectuée de nuit (</w:t>
      </w:r>
      <w:r w:rsidRPr="00E220FA">
        <w:rPr>
          <w:rFonts w:eastAsia="Times New Roman"/>
          <w:i/>
          <w:snapToGrid w:val="0"/>
          <w:color w:val="000000"/>
        </w:rPr>
        <w:t>de 22 heures à 7 heures</w:t>
      </w:r>
      <w:r w:rsidRPr="00E220FA">
        <w:rPr>
          <w:rFonts w:eastAsia="Times New Roman"/>
          <w:snapToGrid w:val="0"/>
          <w:color w:val="000000"/>
        </w:rPr>
        <w:t>) et de 66 % lorsqu’elle est accomplie un dimanche ou un jour férié</w:t>
      </w:r>
      <w:r>
        <w:rPr>
          <w:rFonts w:eastAsia="Times New Roman"/>
          <w:snapToGrid w:val="0"/>
          <w:color w:val="000000"/>
        </w:rPr>
        <w:t>.</w:t>
      </w:r>
    </w:p>
    <w:p w14:paraId="368DF640" w14:textId="77777777" w:rsidR="00E220FA" w:rsidRPr="00E220FA" w:rsidRDefault="00E220FA" w:rsidP="006B5CBF">
      <w:pPr>
        <w:rPr>
          <w:rFonts w:eastAsia="Times New Roman"/>
          <w:b/>
          <w:bCs/>
          <w:snapToGrid w:val="0"/>
          <w:color w:val="000000"/>
        </w:rPr>
      </w:pPr>
    </w:p>
    <w:p w14:paraId="7A61BDB3" w14:textId="77777777" w:rsidR="00D17887" w:rsidRDefault="00D17887" w:rsidP="006B5CBF">
      <w:pPr>
        <w:rPr>
          <w:szCs w:val="18"/>
        </w:rPr>
      </w:pPr>
      <w:r w:rsidRPr="00D17887">
        <w:rPr>
          <w:szCs w:val="18"/>
        </w:rPr>
        <w:t xml:space="preserve">Pour les agents à temps non complet et appartenant à un grade éligible aux indemnités horaires pour travaux supplémentaires qui sont amenés à faire des heures au-delà de la durée du cycle de travail défini par la collectivité pour les agents à temps complet (35 heures), la rémunération horaire des heures supplémentaires est calculée sur la même base que celle des agents à temps complet mentionnée au premier paragraphe du présent article. </w:t>
      </w:r>
    </w:p>
    <w:p w14:paraId="01E4D7B2" w14:textId="50BCE9CA" w:rsidR="00E220FA" w:rsidRPr="00D17887" w:rsidRDefault="00D17887" w:rsidP="006B5CBF">
      <w:pPr>
        <w:rPr>
          <w:rFonts w:eastAsia="Times New Roman"/>
          <w:snapToGrid w:val="0"/>
          <w:color w:val="000000"/>
        </w:rPr>
      </w:pPr>
      <w:r w:rsidRPr="00D17887">
        <w:rPr>
          <w:szCs w:val="18"/>
        </w:rPr>
        <w:t xml:space="preserve">Les heures effectuées par ces agents au-delà de la durée hebdomadaire de service afférente à leur emploi à temps non complet qui ne dépassent pas la durée du cycle de travail défini par la collectivité pour les agents à temps complet (35 heures) constituent des heures complémentaires dont la </w:t>
      </w:r>
      <w:proofErr w:type="gramStart"/>
      <w:r w:rsidRPr="00D17887">
        <w:rPr>
          <w:szCs w:val="18"/>
        </w:rPr>
        <w:t>rémunération</w:t>
      </w:r>
      <w:proofErr w:type="gramEnd"/>
      <w:r w:rsidRPr="00D17887">
        <w:rPr>
          <w:szCs w:val="18"/>
        </w:rPr>
        <w:t xml:space="preserve"> est déterminée en divisant par 1 820 la somme du montant annuel du traitement brut et, le cas échéant, de l'indemnité de résidence d'un agent au même indice exerçant à temps complet</w:t>
      </w:r>
      <w:r>
        <w:rPr>
          <w:rFonts w:eastAsia="Times New Roman"/>
          <w:snapToGrid w:val="0"/>
          <w:color w:val="000000"/>
        </w:rPr>
        <w:t>.</w:t>
      </w:r>
      <w:r w:rsidRPr="00D17887">
        <w:rPr>
          <w:rFonts w:eastAsia="Times New Roman"/>
          <w:snapToGrid w:val="0"/>
          <w:color w:val="000000"/>
        </w:rPr>
        <w:t> </w:t>
      </w:r>
    </w:p>
    <w:p w14:paraId="1FAFF79D" w14:textId="77777777" w:rsidR="00D17887" w:rsidRPr="006B5CBF" w:rsidRDefault="00D17887" w:rsidP="006B5CBF">
      <w:pPr>
        <w:rPr>
          <w:rFonts w:eastAsia="Times New Roman"/>
          <w:snapToGrid w:val="0"/>
          <w:color w:val="000000"/>
        </w:rPr>
      </w:pPr>
    </w:p>
    <w:p w14:paraId="3061DEB7" w14:textId="5B1CDC0A" w:rsidR="006B5CBF" w:rsidRPr="00440A51" w:rsidRDefault="006B5CBF" w:rsidP="006B5CBF">
      <w:pPr>
        <w:rPr>
          <w:rFonts w:eastAsia="Times New Roman"/>
          <w:b/>
          <w:snapToGrid w:val="0"/>
        </w:rPr>
      </w:pPr>
      <w:r w:rsidRPr="00440A51">
        <w:rPr>
          <w:rFonts w:eastAsia="Times New Roman"/>
          <w:b/>
          <w:snapToGrid w:val="0"/>
          <w:u w:val="single"/>
        </w:rPr>
        <w:t>Article</w:t>
      </w:r>
      <w:r w:rsidR="002F0BA5">
        <w:rPr>
          <w:rFonts w:eastAsia="Times New Roman"/>
          <w:b/>
          <w:snapToGrid w:val="0"/>
          <w:u w:val="single"/>
        </w:rPr>
        <w:t xml:space="preserve"> </w:t>
      </w:r>
      <w:r w:rsidR="00E220FA">
        <w:rPr>
          <w:rFonts w:eastAsia="Times New Roman"/>
          <w:b/>
          <w:snapToGrid w:val="0"/>
          <w:u w:val="single"/>
        </w:rPr>
        <w:t>4</w:t>
      </w:r>
      <w:r w:rsidRPr="00440A51">
        <w:rPr>
          <w:rFonts w:eastAsia="Times New Roman"/>
          <w:b/>
          <w:snapToGrid w:val="0"/>
        </w:rPr>
        <w:t> : Périodicité de versement</w:t>
      </w:r>
    </w:p>
    <w:p w14:paraId="038B4D1B" w14:textId="77777777" w:rsidR="00440A51" w:rsidRPr="006B5CBF" w:rsidRDefault="00440A51" w:rsidP="006B5CBF">
      <w:pPr>
        <w:rPr>
          <w:rFonts w:eastAsia="Times New Roman"/>
          <w:bCs/>
          <w:snapToGrid w:val="0"/>
        </w:rPr>
      </w:pPr>
    </w:p>
    <w:p w14:paraId="35A9D099" w14:textId="498743FB" w:rsidR="006B5CBF" w:rsidRPr="006B5CBF" w:rsidRDefault="006B5CBF" w:rsidP="006B5CBF">
      <w:pPr>
        <w:rPr>
          <w:rFonts w:eastAsia="Times New Roman"/>
          <w:snapToGrid w:val="0"/>
          <w:color w:val="000000"/>
        </w:rPr>
      </w:pPr>
      <w:r w:rsidRPr="006B5CBF">
        <w:rPr>
          <w:rFonts w:eastAsia="Times New Roman"/>
          <w:snapToGrid w:val="0"/>
          <w:color w:val="000000"/>
        </w:rPr>
        <w:t xml:space="preserve">Le paiement des indemnités fixées par la présente délibération sera effectué selon une </w:t>
      </w:r>
      <w:r w:rsidR="00E220FA" w:rsidRPr="006B5CBF">
        <w:rPr>
          <w:rFonts w:eastAsia="Times New Roman"/>
          <w:snapToGrid w:val="0"/>
          <w:color w:val="000000"/>
        </w:rPr>
        <w:t>périodicité…</w:t>
      </w:r>
      <w:r w:rsidRPr="006B5CBF">
        <w:rPr>
          <w:rFonts w:eastAsia="Times New Roman"/>
          <w:snapToGrid w:val="0"/>
          <w:color w:val="000000"/>
        </w:rPr>
        <w:t>. (</w:t>
      </w:r>
      <w:proofErr w:type="gramStart"/>
      <w:r w:rsidRPr="006B5CBF">
        <w:rPr>
          <w:rFonts w:eastAsia="Times New Roman"/>
          <w:snapToGrid w:val="0"/>
          <w:color w:val="000000"/>
        </w:rPr>
        <w:t>mensuelle</w:t>
      </w:r>
      <w:proofErr w:type="gramEnd"/>
      <w:r w:rsidRPr="006B5CBF">
        <w:rPr>
          <w:rFonts w:eastAsia="Times New Roman"/>
          <w:snapToGrid w:val="0"/>
          <w:color w:val="000000"/>
        </w:rPr>
        <w:t>, trimestrielle, semestrielle</w:t>
      </w:r>
      <w:r w:rsidR="00B108B7">
        <w:rPr>
          <w:rFonts w:eastAsia="Times New Roman"/>
          <w:snapToGrid w:val="0"/>
          <w:color w:val="000000"/>
        </w:rPr>
        <w:t>..</w:t>
      </w:r>
      <w:r w:rsidRPr="006B5CBF">
        <w:rPr>
          <w:rFonts w:eastAsia="Times New Roman"/>
          <w:snapToGrid w:val="0"/>
          <w:color w:val="000000"/>
        </w:rPr>
        <w:t>).</w:t>
      </w:r>
    </w:p>
    <w:p w14:paraId="1CEBF544" w14:textId="77777777" w:rsidR="006B5CBF" w:rsidRPr="006B5CBF" w:rsidRDefault="006B5CBF" w:rsidP="006B5CBF">
      <w:pPr>
        <w:rPr>
          <w:rFonts w:eastAsia="Times New Roman"/>
          <w:snapToGrid w:val="0"/>
          <w:color w:val="000000"/>
        </w:rPr>
      </w:pPr>
    </w:p>
    <w:p w14:paraId="232D015B" w14:textId="12EFF82C" w:rsidR="006B5CBF" w:rsidRPr="00440A51" w:rsidRDefault="006B5CBF" w:rsidP="006B5CBF">
      <w:pPr>
        <w:rPr>
          <w:rFonts w:eastAsia="Times New Roman"/>
          <w:b/>
          <w:snapToGrid w:val="0"/>
        </w:rPr>
      </w:pPr>
      <w:r w:rsidRPr="00440A51">
        <w:rPr>
          <w:rFonts w:eastAsia="Times New Roman"/>
          <w:b/>
          <w:snapToGrid w:val="0"/>
          <w:u w:val="single"/>
        </w:rPr>
        <w:t xml:space="preserve">Article </w:t>
      </w:r>
      <w:r w:rsidR="00535C51">
        <w:rPr>
          <w:rFonts w:eastAsia="Times New Roman"/>
          <w:b/>
          <w:snapToGrid w:val="0"/>
          <w:u w:val="single"/>
        </w:rPr>
        <w:t>5</w:t>
      </w:r>
      <w:r w:rsidRPr="00440A51">
        <w:rPr>
          <w:rFonts w:eastAsia="Times New Roman"/>
          <w:b/>
          <w:snapToGrid w:val="0"/>
        </w:rPr>
        <w:t> : Crédits budgétaires</w:t>
      </w:r>
    </w:p>
    <w:p w14:paraId="44091D4E" w14:textId="77777777" w:rsidR="00440A51" w:rsidRPr="006B5CBF" w:rsidRDefault="00440A51" w:rsidP="006B5CBF">
      <w:pPr>
        <w:rPr>
          <w:rFonts w:eastAsia="Times New Roman"/>
          <w:bCs/>
          <w:snapToGrid w:val="0"/>
        </w:rPr>
      </w:pPr>
    </w:p>
    <w:p w14:paraId="1099B6C2" w14:textId="77777777" w:rsidR="006B5CBF" w:rsidRPr="006B5CBF" w:rsidRDefault="006B5CBF" w:rsidP="006B5CBF">
      <w:pPr>
        <w:rPr>
          <w:rFonts w:eastAsia="Times New Roman"/>
          <w:snapToGrid w:val="0"/>
          <w:color w:val="000000"/>
        </w:rPr>
      </w:pPr>
      <w:r w:rsidRPr="006B5CBF">
        <w:rPr>
          <w:rFonts w:eastAsia="Times New Roman"/>
          <w:snapToGrid w:val="0"/>
          <w:color w:val="000000"/>
        </w:rPr>
        <w:t>Les crédits correspondants seront prévus et inscrits au budget.</w:t>
      </w:r>
    </w:p>
    <w:p w14:paraId="7E1971BC" w14:textId="77777777" w:rsidR="006B5CBF" w:rsidRPr="00440A51" w:rsidRDefault="006B5CBF" w:rsidP="006B5CBF">
      <w:pPr>
        <w:rPr>
          <w:rFonts w:eastAsia="Times New Roman"/>
          <w:b/>
          <w:snapToGrid w:val="0"/>
        </w:rPr>
      </w:pPr>
    </w:p>
    <w:p w14:paraId="312D3DFF" w14:textId="5E34BE01" w:rsidR="006B5CBF" w:rsidRPr="00440A51" w:rsidRDefault="006B5CBF" w:rsidP="006B5CBF">
      <w:pPr>
        <w:rPr>
          <w:rFonts w:eastAsia="Times New Roman"/>
          <w:b/>
          <w:snapToGrid w:val="0"/>
          <w:szCs w:val="24"/>
        </w:rPr>
      </w:pPr>
      <w:r w:rsidRPr="00440A51">
        <w:rPr>
          <w:rFonts w:eastAsia="Times New Roman"/>
          <w:b/>
          <w:snapToGrid w:val="0"/>
          <w:szCs w:val="24"/>
          <w:u w:val="single"/>
        </w:rPr>
        <w:t xml:space="preserve">Article </w:t>
      </w:r>
      <w:r w:rsidR="00535C51">
        <w:rPr>
          <w:rFonts w:eastAsia="Times New Roman"/>
          <w:b/>
          <w:snapToGrid w:val="0"/>
          <w:szCs w:val="24"/>
          <w:u w:val="single"/>
        </w:rPr>
        <w:t>6</w:t>
      </w:r>
      <w:r w:rsidRPr="00440A51">
        <w:rPr>
          <w:rFonts w:eastAsia="Times New Roman"/>
          <w:b/>
          <w:snapToGrid w:val="0"/>
          <w:szCs w:val="24"/>
        </w:rPr>
        <w:t> :</w:t>
      </w:r>
    </w:p>
    <w:p w14:paraId="62889A4F" w14:textId="77777777" w:rsidR="00440A51" w:rsidRPr="006B5CBF" w:rsidRDefault="00440A51" w:rsidP="006B5CBF">
      <w:pPr>
        <w:rPr>
          <w:rFonts w:eastAsia="Times New Roman"/>
          <w:bCs/>
          <w:snapToGrid w:val="0"/>
          <w:szCs w:val="24"/>
        </w:rPr>
      </w:pPr>
    </w:p>
    <w:p w14:paraId="2FB02D7D" w14:textId="638BF89C" w:rsidR="006B5CBF" w:rsidRDefault="006B5CBF" w:rsidP="006B5CBF">
      <w:pPr>
        <w:rPr>
          <w:rFonts w:eastAsia="Times New Roman"/>
          <w:snapToGrid w:val="0"/>
          <w:szCs w:val="24"/>
        </w:rPr>
      </w:pPr>
      <w:r w:rsidRPr="006B5CBF">
        <w:rPr>
          <w:rFonts w:eastAsia="Times New Roman"/>
          <w:snapToGrid w:val="0"/>
          <w:szCs w:val="24"/>
        </w:rPr>
        <w:t xml:space="preserve">Les dispositions de la présente délibération prendront effet </w:t>
      </w:r>
      <w:r w:rsidR="00B108B7">
        <w:rPr>
          <w:rFonts w:eastAsia="Times New Roman"/>
          <w:snapToGrid w:val="0"/>
          <w:szCs w:val="24"/>
        </w:rPr>
        <w:t>à compter du...</w:t>
      </w:r>
    </w:p>
    <w:p w14:paraId="35D25ABE" w14:textId="77777777" w:rsidR="00710FB4" w:rsidRDefault="00710FB4" w:rsidP="00440A51">
      <w:pPr>
        <w:rPr>
          <w:rFonts w:eastAsia="Times New Roman"/>
          <w:b/>
          <w:bCs/>
          <w:snapToGrid w:val="0"/>
          <w:szCs w:val="24"/>
          <w:u w:val="single"/>
        </w:rPr>
      </w:pPr>
    </w:p>
    <w:p w14:paraId="2ACECC98" w14:textId="2B31FB74" w:rsidR="00710FB4" w:rsidRPr="00710FB4" w:rsidRDefault="00710FB4" w:rsidP="00710FB4">
      <w:pPr>
        <w:rPr>
          <w:rFonts w:eastAsia="Times New Roman"/>
          <w:b/>
          <w:bCs/>
          <w:snapToGrid w:val="0"/>
          <w:szCs w:val="24"/>
          <w:u w:val="single"/>
        </w:rPr>
      </w:pPr>
      <w:r w:rsidRPr="00710FB4">
        <w:rPr>
          <w:rFonts w:eastAsia="Times New Roman"/>
          <w:b/>
          <w:bCs/>
          <w:snapToGrid w:val="0"/>
          <w:szCs w:val="24"/>
          <w:u w:val="single"/>
        </w:rPr>
        <w:t xml:space="preserve">Article </w:t>
      </w:r>
      <w:r>
        <w:rPr>
          <w:rFonts w:eastAsia="Times New Roman"/>
          <w:b/>
          <w:bCs/>
          <w:snapToGrid w:val="0"/>
          <w:szCs w:val="24"/>
          <w:u w:val="single"/>
        </w:rPr>
        <w:t>7</w:t>
      </w:r>
      <w:r w:rsidRPr="00710FB4">
        <w:rPr>
          <w:rFonts w:eastAsia="Times New Roman"/>
          <w:b/>
          <w:bCs/>
          <w:snapToGrid w:val="0"/>
          <w:szCs w:val="24"/>
          <w:u w:val="single"/>
        </w:rPr>
        <w:t xml:space="preserve"> : Voies et délais de recours </w:t>
      </w:r>
    </w:p>
    <w:p w14:paraId="7CE92A01" w14:textId="77777777" w:rsidR="00710FB4" w:rsidRDefault="00710FB4" w:rsidP="00710FB4">
      <w:pPr>
        <w:rPr>
          <w:rFonts w:eastAsia="Times New Roman"/>
          <w:b/>
          <w:bCs/>
          <w:snapToGrid w:val="0"/>
          <w:szCs w:val="24"/>
          <w:u w:val="single"/>
        </w:rPr>
      </w:pPr>
    </w:p>
    <w:p w14:paraId="5A8BADB2" w14:textId="3331146B" w:rsidR="00710FB4" w:rsidRPr="00710FB4" w:rsidRDefault="00710FB4" w:rsidP="00710FB4">
      <w:pPr>
        <w:rPr>
          <w:rFonts w:eastAsia="Times New Roman"/>
          <w:snapToGrid w:val="0"/>
          <w:szCs w:val="24"/>
        </w:rPr>
      </w:pPr>
      <w:r w:rsidRPr="00710FB4">
        <w:rPr>
          <w:rFonts w:eastAsia="Times New Roman"/>
          <w:snapToGrid w:val="0"/>
          <w:szCs w:val="24"/>
        </w:rPr>
        <w:t xml:space="preserve">Le </w:t>
      </w:r>
      <w:r w:rsidRPr="00710FB4">
        <w:rPr>
          <w:rFonts w:eastAsia="Times New Roman"/>
          <w:i/>
          <w:iCs/>
          <w:snapToGrid w:val="0"/>
          <w:szCs w:val="24"/>
        </w:rPr>
        <w:t xml:space="preserve">Président/Maire </w:t>
      </w:r>
      <w:r w:rsidRPr="00710FB4">
        <w:rPr>
          <w:rFonts w:eastAsia="Times New Roman"/>
          <w:snapToGrid w:val="0"/>
          <w:szCs w:val="24"/>
        </w:rPr>
        <w:t xml:space="preserve">certifie sous sa responsabilité le caractère exécutoire de cet acte et informe que la présente délibération peut faire l'objet d'un recours pour excès de pouvoir devant le tribunal administratif de Nantes - 6, Allée de l'Ile Gloriette 44041 NANTES CEDEX - dans un délai de 2 mois à compter de sa transmission au représentant de l’Etat et de sa publication. </w:t>
      </w:r>
    </w:p>
    <w:p w14:paraId="3B9374A2" w14:textId="77777777" w:rsidR="00710FB4" w:rsidRPr="00710FB4" w:rsidRDefault="00710FB4" w:rsidP="00710FB4">
      <w:pPr>
        <w:rPr>
          <w:rFonts w:eastAsia="Times New Roman"/>
          <w:snapToGrid w:val="0"/>
          <w:szCs w:val="24"/>
        </w:rPr>
      </w:pPr>
      <w:r w:rsidRPr="00710FB4">
        <w:rPr>
          <w:rFonts w:eastAsia="Times New Roman"/>
          <w:snapToGrid w:val="0"/>
          <w:szCs w:val="24"/>
        </w:rPr>
        <w:t xml:space="preserve">La juridiction administrative compétente peut également être saisie par l'application </w:t>
      </w:r>
      <w:proofErr w:type="spellStart"/>
      <w:r w:rsidRPr="00710FB4">
        <w:rPr>
          <w:rFonts w:eastAsia="Times New Roman"/>
          <w:snapToGrid w:val="0"/>
          <w:szCs w:val="24"/>
        </w:rPr>
        <w:t>télérecours</w:t>
      </w:r>
      <w:proofErr w:type="spellEnd"/>
      <w:r w:rsidRPr="00710FB4">
        <w:rPr>
          <w:rFonts w:eastAsia="Times New Roman"/>
          <w:snapToGrid w:val="0"/>
          <w:szCs w:val="24"/>
        </w:rPr>
        <w:t xml:space="preserve"> citoyens accessible à partir du site www.telerecours.fr </w:t>
      </w:r>
    </w:p>
    <w:p w14:paraId="6E5C831C" w14:textId="77777777" w:rsidR="00710FB4" w:rsidRDefault="00710FB4" w:rsidP="00710FB4">
      <w:pPr>
        <w:rPr>
          <w:rFonts w:eastAsia="Times New Roman"/>
          <w:b/>
          <w:bCs/>
          <w:snapToGrid w:val="0"/>
          <w:szCs w:val="24"/>
          <w:u w:val="single"/>
        </w:rPr>
      </w:pPr>
    </w:p>
    <w:p w14:paraId="22CF1AD4" w14:textId="03FC1936" w:rsidR="00440A51" w:rsidRPr="00440A51" w:rsidRDefault="00440A51" w:rsidP="00440A51">
      <w:pPr>
        <w:rPr>
          <w:rFonts w:eastAsia="Times New Roman"/>
          <w:b/>
          <w:bCs/>
          <w:snapToGrid w:val="0"/>
          <w:szCs w:val="24"/>
          <w:u w:val="single"/>
        </w:rPr>
      </w:pPr>
      <w:r w:rsidRPr="00440A51">
        <w:rPr>
          <w:rFonts w:eastAsia="Times New Roman"/>
          <w:b/>
          <w:bCs/>
          <w:snapToGrid w:val="0"/>
          <w:szCs w:val="24"/>
          <w:u w:val="single"/>
        </w:rPr>
        <w:t xml:space="preserve">Article </w:t>
      </w:r>
      <w:r w:rsidR="00710FB4">
        <w:rPr>
          <w:rFonts w:eastAsia="Times New Roman"/>
          <w:b/>
          <w:bCs/>
          <w:snapToGrid w:val="0"/>
          <w:szCs w:val="24"/>
          <w:u w:val="single"/>
        </w:rPr>
        <w:t>8</w:t>
      </w:r>
      <w:r w:rsidRPr="00440A51">
        <w:rPr>
          <w:rFonts w:eastAsia="Times New Roman"/>
          <w:b/>
          <w:bCs/>
          <w:snapToGrid w:val="0"/>
          <w:szCs w:val="24"/>
          <w:u w:val="single"/>
        </w:rPr>
        <w:t> </w:t>
      </w:r>
      <w:r w:rsidRPr="00440A51">
        <w:rPr>
          <w:rFonts w:eastAsia="Times New Roman"/>
          <w:b/>
          <w:bCs/>
          <w:snapToGrid w:val="0"/>
          <w:szCs w:val="24"/>
        </w:rPr>
        <w:t>:</w:t>
      </w:r>
      <w:r w:rsidRPr="00440A51">
        <w:rPr>
          <w:rFonts w:eastAsia="Times New Roman"/>
          <w:b/>
          <w:bCs/>
          <w:snapToGrid w:val="0"/>
          <w:szCs w:val="24"/>
          <w:u w:val="single"/>
        </w:rPr>
        <w:t xml:space="preserve"> </w:t>
      </w:r>
    </w:p>
    <w:p w14:paraId="7E44F13B" w14:textId="77777777" w:rsidR="00440A51" w:rsidRPr="00440A51" w:rsidRDefault="00440A51" w:rsidP="00440A51">
      <w:pPr>
        <w:rPr>
          <w:rFonts w:eastAsia="Times New Roman"/>
          <w:b/>
          <w:snapToGrid w:val="0"/>
          <w:szCs w:val="24"/>
          <w:u w:val="single"/>
        </w:rPr>
      </w:pPr>
    </w:p>
    <w:p w14:paraId="35E769CF" w14:textId="77777777" w:rsidR="00440A51" w:rsidRPr="00440A51" w:rsidRDefault="00440A51" w:rsidP="00440A51">
      <w:pPr>
        <w:rPr>
          <w:rFonts w:eastAsia="Times New Roman"/>
          <w:bCs/>
          <w:snapToGrid w:val="0"/>
          <w:szCs w:val="24"/>
        </w:rPr>
      </w:pPr>
      <w:r w:rsidRPr="00440A51">
        <w:rPr>
          <w:rFonts w:eastAsia="Times New Roman"/>
          <w:bCs/>
          <w:snapToGrid w:val="0"/>
          <w:szCs w:val="24"/>
        </w:rPr>
        <w:t>Après en avoir délibéré, l’organe délibérant :</w:t>
      </w:r>
    </w:p>
    <w:p w14:paraId="09D2E9F8" w14:textId="77777777" w:rsidR="00440A51" w:rsidRPr="00440A51" w:rsidRDefault="00440A51" w:rsidP="00440A51">
      <w:pPr>
        <w:rPr>
          <w:rFonts w:eastAsia="Times New Roman"/>
          <w:b/>
          <w:snapToGrid w:val="0"/>
          <w:szCs w:val="24"/>
          <w:u w:val="single"/>
        </w:rPr>
      </w:pPr>
    </w:p>
    <w:p w14:paraId="7B66724F" w14:textId="77777777" w:rsidR="00440A51" w:rsidRPr="00440A51" w:rsidRDefault="00440A51" w:rsidP="00440A51">
      <w:pPr>
        <w:rPr>
          <w:rFonts w:eastAsia="Times New Roman"/>
          <w:b/>
          <w:snapToGrid w:val="0"/>
          <w:szCs w:val="24"/>
          <w:u w:val="single"/>
        </w:rPr>
      </w:pPr>
    </w:p>
    <w:p w14:paraId="243C28C7" w14:textId="246CD2B1" w:rsidR="00440A51" w:rsidRPr="00440A51" w:rsidRDefault="00440A51" w:rsidP="00440A51">
      <w:pPr>
        <w:rPr>
          <w:rFonts w:eastAsia="Times New Roman"/>
          <w:b/>
          <w:snapToGrid w:val="0"/>
          <w:szCs w:val="24"/>
        </w:rPr>
      </w:pPr>
      <w:r w:rsidRPr="00440A51">
        <w:rPr>
          <w:rFonts w:eastAsia="Times New Roman"/>
          <w:b/>
          <w:snapToGrid w:val="0"/>
          <w:szCs w:val="24"/>
        </w:rPr>
        <w:t xml:space="preserve">DECIDE : d’adopter les modalités de mise en œuvre </w:t>
      </w:r>
      <w:r>
        <w:rPr>
          <w:rFonts w:eastAsia="Times New Roman"/>
          <w:b/>
          <w:snapToGrid w:val="0"/>
          <w:szCs w:val="24"/>
        </w:rPr>
        <w:t>des indemnités horaires pour travaux supplémentaires (IHTS).</w:t>
      </w:r>
    </w:p>
    <w:p w14:paraId="3644C6E5" w14:textId="77777777" w:rsidR="00440A51" w:rsidRPr="00440A51" w:rsidRDefault="00440A51" w:rsidP="006B5CBF">
      <w:pPr>
        <w:rPr>
          <w:rFonts w:eastAsia="Times New Roman"/>
          <w:b/>
          <w:snapToGrid w:val="0"/>
          <w:szCs w:val="24"/>
        </w:rPr>
      </w:pPr>
    </w:p>
    <w:p w14:paraId="2E0CB643" w14:textId="77777777" w:rsidR="006B5CBF" w:rsidRPr="006B5CBF" w:rsidRDefault="006B5CBF" w:rsidP="006B5CBF">
      <w:pPr>
        <w:rPr>
          <w:rFonts w:eastAsia="Times New Roman"/>
          <w:szCs w:val="24"/>
        </w:rPr>
      </w:pPr>
    </w:p>
    <w:p w14:paraId="38B8F1FF" w14:textId="77777777" w:rsidR="006B5CBF" w:rsidRPr="006B5CBF" w:rsidRDefault="006B5CBF" w:rsidP="006B5CBF">
      <w:pPr>
        <w:rPr>
          <w:rFonts w:eastAsia="Times New Roman"/>
          <w:szCs w:val="24"/>
        </w:rPr>
      </w:pPr>
      <w:r w:rsidRPr="006B5CBF">
        <w:rPr>
          <w:rFonts w:eastAsia="Times New Roman"/>
          <w:bCs/>
          <w:szCs w:val="24"/>
        </w:rPr>
        <w:t xml:space="preserve">ADOPTÉ </w:t>
      </w:r>
      <w:r w:rsidRPr="006B5CBF">
        <w:rPr>
          <w:rFonts w:eastAsia="Times New Roman"/>
          <w:szCs w:val="24"/>
        </w:rPr>
        <w:t xml:space="preserve">: </w:t>
      </w:r>
      <w:r w:rsidRPr="006B5CBF">
        <w:rPr>
          <w:rFonts w:eastAsia="Times New Roman"/>
          <w:szCs w:val="24"/>
        </w:rPr>
        <w:tab/>
        <w:t>à l’unanimité des membres présents</w:t>
      </w:r>
    </w:p>
    <w:p w14:paraId="2A288C52" w14:textId="77777777" w:rsidR="006B5CBF" w:rsidRPr="006B5CBF" w:rsidRDefault="006B5CBF" w:rsidP="006B5CBF">
      <w:pPr>
        <w:rPr>
          <w:rFonts w:eastAsia="Times New Roman"/>
          <w:szCs w:val="24"/>
        </w:rPr>
      </w:pPr>
      <w:proofErr w:type="gramStart"/>
      <w:r w:rsidRPr="006B5CBF">
        <w:rPr>
          <w:rFonts w:eastAsia="Times New Roman"/>
          <w:szCs w:val="24"/>
        </w:rPr>
        <w:t>ou</w:t>
      </w:r>
      <w:proofErr w:type="gramEnd"/>
    </w:p>
    <w:p w14:paraId="709BE09B" w14:textId="77777777" w:rsidR="006B5CBF" w:rsidRPr="006B5CBF" w:rsidRDefault="006B5CBF" w:rsidP="006B5CBF">
      <w:pPr>
        <w:rPr>
          <w:rFonts w:eastAsia="Times New Roman"/>
          <w:szCs w:val="24"/>
        </w:rPr>
      </w:pPr>
      <w:proofErr w:type="gramStart"/>
      <w:r w:rsidRPr="006B5CBF">
        <w:rPr>
          <w:rFonts w:eastAsia="Times New Roman"/>
          <w:szCs w:val="24"/>
        </w:rPr>
        <w:t>à</w:t>
      </w:r>
      <w:proofErr w:type="gramEnd"/>
      <w:r w:rsidRPr="006B5CBF">
        <w:rPr>
          <w:rFonts w:eastAsia="Times New Roman"/>
          <w:szCs w:val="24"/>
        </w:rPr>
        <w:t xml:space="preserve"> ... voix pour</w:t>
      </w:r>
    </w:p>
    <w:p w14:paraId="27048AB4" w14:textId="77777777" w:rsidR="006B5CBF" w:rsidRPr="006B5CBF" w:rsidRDefault="006B5CBF" w:rsidP="006B5CBF">
      <w:pPr>
        <w:rPr>
          <w:rFonts w:eastAsia="Times New Roman"/>
          <w:szCs w:val="24"/>
        </w:rPr>
      </w:pPr>
      <w:proofErr w:type="gramStart"/>
      <w:r w:rsidRPr="006B5CBF">
        <w:rPr>
          <w:rFonts w:eastAsia="Times New Roman"/>
          <w:szCs w:val="24"/>
        </w:rPr>
        <w:t>à</w:t>
      </w:r>
      <w:proofErr w:type="gramEnd"/>
      <w:r w:rsidRPr="006B5CBF">
        <w:rPr>
          <w:rFonts w:eastAsia="Times New Roman"/>
          <w:szCs w:val="24"/>
        </w:rPr>
        <w:t xml:space="preserve"> ... voix contre</w:t>
      </w:r>
    </w:p>
    <w:p w14:paraId="7449E08C" w14:textId="77777777" w:rsidR="006B5CBF" w:rsidRPr="006B5CBF" w:rsidRDefault="006B5CBF" w:rsidP="006B5CBF">
      <w:pPr>
        <w:rPr>
          <w:rFonts w:eastAsia="Times New Roman"/>
          <w:szCs w:val="24"/>
        </w:rPr>
      </w:pPr>
      <w:proofErr w:type="gramStart"/>
      <w:r w:rsidRPr="006B5CBF">
        <w:rPr>
          <w:rFonts w:eastAsia="Times New Roman"/>
          <w:szCs w:val="24"/>
        </w:rPr>
        <w:t>à</w:t>
      </w:r>
      <w:proofErr w:type="gramEnd"/>
      <w:r w:rsidRPr="006B5CBF">
        <w:rPr>
          <w:rFonts w:eastAsia="Times New Roman"/>
          <w:szCs w:val="24"/>
        </w:rPr>
        <w:t xml:space="preserve"> ... abstention(s)</w:t>
      </w:r>
    </w:p>
    <w:p w14:paraId="51384DCC" w14:textId="77777777" w:rsidR="006B5CBF" w:rsidRPr="006B5CBF" w:rsidRDefault="006B5CBF" w:rsidP="006B5CBF">
      <w:pPr>
        <w:rPr>
          <w:rFonts w:eastAsia="Times New Roman"/>
          <w:szCs w:val="24"/>
        </w:rPr>
      </w:pPr>
    </w:p>
    <w:p w14:paraId="780D7D86" w14:textId="77777777" w:rsidR="006B5CBF" w:rsidRPr="006B5CBF" w:rsidRDefault="006B5CBF" w:rsidP="006B5CBF">
      <w:pPr>
        <w:rPr>
          <w:rFonts w:eastAsia="Times New Roman"/>
          <w:szCs w:val="24"/>
        </w:rPr>
      </w:pPr>
    </w:p>
    <w:p w14:paraId="38956588" w14:textId="77777777" w:rsidR="006B5CBF" w:rsidRPr="006B5CBF" w:rsidRDefault="006B5CBF" w:rsidP="006B5CBF">
      <w:pPr>
        <w:rPr>
          <w:rFonts w:eastAsia="Times New Roman"/>
          <w:szCs w:val="24"/>
        </w:rPr>
      </w:pPr>
      <w:r w:rsidRPr="006B5CBF">
        <w:rPr>
          <w:rFonts w:eastAsia="Times New Roman"/>
          <w:szCs w:val="24"/>
        </w:rPr>
        <w:tab/>
        <w:t xml:space="preserve">Fait à. ..., </w:t>
      </w:r>
    </w:p>
    <w:p w14:paraId="5664E2F4" w14:textId="77777777" w:rsidR="006B5CBF" w:rsidRPr="006B5CBF" w:rsidRDefault="006B5CBF" w:rsidP="006B5CBF">
      <w:pPr>
        <w:rPr>
          <w:rFonts w:eastAsia="Times New Roman"/>
          <w:szCs w:val="24"/>
        </w:rPr>
      </w:pPr>
      <w:r w:rsidRPr="006B5CBF">
        <w:rPr>
          <w:rFonts w:eastAsia="Times New Roman"/>
          <w:szCs w:val="24"/>
        </w:rPr>
        <w:tab/>
      </w:r>
      <w:proofErr w:type="gramStart"/>
      <w:r w:rsidRPr="006B5CBF">
        <w:rPr>
          <w:rFonts w:eastAsia="Times New Roman"/>
          <w:szCs w:val="24"/>
        </w:rPr>
        <w:t>le</w:t>
      </w:r>
      <w:proofErr w:type="gramEnd"/>
      <w:r w:rsidRPr="006B5CBF">
        <w:rPr>
          <w:rFonts w:eastAsia="Times New Roman"/>
          <w:szCs w:val="24"/>
        </w:rPr>
        <w:t xml:space="preserve"> …,</w:t>
      </w:r>
    </w:p>
    <w:p w14:paraId="77638E98" w14:textId="77777777" w:rsidR="006B5CBF" w:rsidRPr="006B5CBF" w:rsidRDefault="006B5CBF" w:rsidP="006B5CBF">
      <w:pPr>
        <w:rPr>
          <w:rFonts w:eastAsia="Times New Roman"/>
          <w:szCs w:val="24"/>
          <w:u w:val="single"/>
        </w:rPr>
      </w:pPr>
      <w:r w:rsidRPr="006B5CBF">
        <w:rPr>
          <w:rFonts w:eastAsia="Times New Roman"/>
          <w:szCs w:val="24"/>
        </w:rPr>
        <w:tab/>
      </w:r>
      <w:r w:rsidRPr="006B5CBF">
        <w:rPr>
          <w:rFonts w:eastAsia="Times New Roman"/>
          <w:szCs w:val="24"/>
          <w:u w:val="single"/>
        </w:rPr>
        <w:t>Prénom, nom et qualité du signataire</w:t>
      </w:r>
    </w:p>
    <w:p w14:paraId="416242E6" w14:textId="77777777" w:rsidR="006B5CBF" w:rsidRPr="006B5CBF" w:rsidRDefault="006B5CBF" w:rsidP="006B5CBF">
      <w:pPr>
        <w:rPr>
          <w:rFonts w:eastAsia="Times New Roman"/>
          <w:szCs w:val="24"/>
        </w:rPr>
      </w:pPr>
    </w:p>
    <w:p w14:paraId="71AD37C3" w14:textId="77777777" w:rsidR="006B5CBF" w:rsidRPr="006B5CBF" w:rsidRDefault="006B5CBF" w:rsidP="006B5CBF">
      <w:pPr>
        <w:rPr>
          <w:rFonts w:eastAsia="Times New Roman"/>
          <w:szCs w:val="24"/>
        </w:rPr>
      </w:pPr>
    </w:p>
    <w:p w14:paraId="1D411540" w14:textId="77777777" w:rsidR="006B5CBF" w:rsidRPr="006B5CBF" w:rsidRDefault="006B5CBF" w:rsidP="006B5CBF">
      <w:pPr>
        <w:rPr>
          <w:rFonts w:eastAsia="Times New Roman"/>
          <w:szCs w:val="24"/>
        </w:rPr>
      </w:pPr>
    </w:p>
    <w:p w14:paraId="64D8F0D2" w14:textId="77777777" w:rsidR="006B5CBF" w:rsidRPr="006B5CBF" w:rsidRDefault="006B5CBF" w:rsidP="006B5CBF">
      <w:pPr>
        <w:rPr>
          <w:rFonts w:eastAsia="Times New Roman"/>
          <w:bCs/>
          <w:szCs w:val="24"/>
        </w:rPr>
      </w:pPr>
      <w:r w:rsidRPr="006B5CBF">
        <w:rPr>
          <w:rFonts w:eastAsia="Times New Roman"/>
          <w:bCs/>
          <w:szCs w:val="24"/>
        </w:rPr>
        <w:t>Transmis au représentant de l’Etat le : …</w:t>
      </w:r>
    </w:p>
    <w:p w14:paraId="719B8772" w14:textId="77777777" w:rsidR="006B5CBF" w:rsidRPr="006B5CBF" w:rsidRDefault="006B5CBF" w:rsidP="006B5CBF">
      <w:pPr>
        <w:rPr>
          <w:rFonts w:eastAsia="Times New Roman"/>
          <w:bCs/>
          <w:szCs w:val="24"/>
        </w:rPr>
      </w:pPr>
      <w:r w:rsidRPr="006B5CBF">
        <w:rPr>
          <w:rFonts w:eastAsia="Times New Roman"/>
          <w:bCs/>
          <w:szCs w:val="24"/>
        </w:rPr>
        <w:t>Publié le : …</w:t>
      </w:r>
    </w:p>
    <w:p w14:paraId="76A8147A" w14:textId="77777777" w:rsidR="006B5CBF" w:rsidRPr="006B5CBF" w:rsidRDefault="006B5CBF" w:rsidP="006B5CBF">
      <w:pPr>
        <w:rPr>
          <w:rFonts w:eastAsia="Times New Roman"/>
          <w:snapToGrid w:val="0"/>
        </w:rPr>
      </w:pPr>
    </w:p>
    <w:p w14:paraId="29267419" w14:textId="77777777" w:rsidR="006B5CBF" w:rsidRPr="006B5CBF" w:rsidRDefault="006B5CBF" w:rsidP="006B5CBF">
      <w:pPr>
        <w:rPr>
          <w:rFonts w:eastAsia="Times New Roman"/>
          <w:snapToGrid w:val="0"/>
        </w:rPr>
      </w:pPr>
    </w:p>
    <w:p w14:paraId="20A8F5D4" w14:textId="77777777" w:rsidR="00E32F3E" w:rsidRPr="007A44DD" w:rsidRDefault="00E32F3E" w:rsidP="006B5CBF"/>
    <w:sectPr w:rsidR="00E32F3E" w:rsidRPr="007A44DD" w:rsidSect="0048396A">
      <w:pgSz w:w="11909" w:h="16834" w:code="9"/>
      <w:pgMar w:top="1276" w:right="1136" w:bottom="1418" w:left="1418"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F4D6" w14:textId="77777777" w:rsidR="006B5CBF" w:rsidRDefault="006B5CBF" w:rsidP="006B5CBF">
      <w:r>
        <w:separator/>
      </w:r>
    </w:p>
  </w:endnote>
  <w:endnote w:type="continuationSeparator" w:id="0">
    <w:p w14:paraId="0C1881A9" w14:textId="77777777" w:rsidR="006B5CBF" w:rsidRDefault="006B5CBF" w:rsidP="006B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charset w:val="00"/>
    <w:family w:val="auto"/>
    <w:pitch w:val="default"/>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3A36" w14:textId="77777777" w:rsidR="006B5CBF" w:rsidRDefault="006B5CBF" w:rsidP="006B5CBF">
      <w:r>
        <w:separator/>
      </w:r>
    </w:p>
  </w:footnote>
  <w:footnote w:type="continuationSeparator" w:id="0">
    <w:p w14:paraId="78979884" w14:textId="77777777" w:rsidR="006B5CBF" w:rsidRDefault="006B5CBF" w:rsidP="006B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pt;height:3pt" o:bullet="t">
        <v:imagedata r:id="rId1" o:title="PUCE CHECK"/>
      </v:shape>
    </w:pict>
  </w:numPicBullet>
  <w:numPicBullet w:numPicBulletId="1">
    <w:pict>
      <v:shape id="_x0000_i1041"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BD3B0C"/>
    <w:multiLevelType w:val="hybridMultilevel"/>
    <w:tmpl w:val="CD90A8D8"/>
    <w:lvl w:ilvl="0" w:tplc="FFFFFFFF">
      <w:start w:val="1"/>
      <w:numFmt w:val="bullet"/>
      <w:lvlText w:val=""/>
      <w:lvlJc w:val="left"/>
      <w:pPr>
        <w:tabs>
          <w:tab w:val="num" w:pos="360"/>
        </w:tabs>
        <w:ind w:left="284" w:hanging="284"/>
      </w:pPr>
      <w:rPr>
        <w:rFonts w:ascii="Wingdings" w:hAnsi="Wingdings" w:hint="default"/>
        <w:sz w:val="36"/>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2155058">
    <w:abstractNumId w:val="19"/>
  </w:num>
  <w:num w:numId="2" w16cid:durableId="2121878802">
    <w:abstractNumId w:val="19"/>
  </w:num>
  <w:num w:numId="3" w16cid:durableId="1989750170">
    <w:abstractNumId w:val="11"/>
  </w:num>
  <w:num w:numId="4" w16cid:durableId="1652753976">
    <w:abstractNumId w:val="8"/>
  </w:num>
  <w:num w:numId="5" w16cid:durableId="1877155992">
    <w:abstractNumId w:val="14"/>
  </w:num>
  <w:num w:numId="6" w16cid:durableId="679896892">
    <w:abstractNumId w:val="3"/>
  </w:num>
  <w:num w:numId="7" w16cid:durableId="1516075699">
    <w:abstractNumId w:val="14"/>
  </w:num>
  <w:num w:numId="8" w16cid:durableId="1623608164">
    <w:abstractNumId w:val="2"/>
  </w:num>
  <w:num w:numId="9" w16cid:durableId="1251770293">
    <w:abstractNumId w:val="1"/>
  </w:num>
  <w:num w:numId="10" w16cid:durableId="1921139815">
    <w:abstractNumId w:val="14"/>
  </w:num>
  <w:num w:numId="11" w16cid:durableId="993873953">
    <w:abstractNumId w:val="0"/>
  </w:num>
  <w:num w:numId="12" w16cid:durableId="1343243905">
    <w:abstractNumId w:val="14"/>
  </w:num>
  <w:num w:numId="13" w16cid:durableId="845903930">
    <w:abstractNumId w:val="9"/>
  </w:num>
  <w:num w:numId="14" w16cid:durableId="151915471">
    <w:abstractNumId w:val="7"/>
  </w:num>
  <w:num w:numId="15" w16cid:durableId="484395530">
    <w:abstractNumId w:val="7"/>
  </w:num>
  <w:num w:numId="16" w16cid:durableId="29769852">
    <w:abstractNumId w:val="6"/>
  </w:num>
  <w:num w:numId="17" w16cid:durableId="1530754284">
    <w:abstractNumId w:val="6"/>
  </w:num>
  <w:num w:numId="18" w16cid:durableId="660427847">
    <w:abstractNumId w:val="5"/>
  </w:num>
  <w:num w:numId="19" w16cid:durableId="130906177">
    <w:abstractNumId w:val="5"/>
  </w:num>
  <w:num w:numId="20" w16cid:durableId="714086113">
    <w:abstractNumId w:val="4"/>
  </w:num>
  <w:num w:numId="21" w16cid:durableId="2038846498">
    <w:abstractNumId w:val="4"/>
  </w:num>
  <w:num w:numId="22" w16cid:durableId="1519200651">
    <w:abstractNumId w:val="18"/>
  </w:num>
  <w:num w:numId="23" w16cid:durableId="708382538">
    <w:abstractNumId w:val="15"/>
  </w:num>
  <w:num w:numId="24" w16cid:durableId="835808841">
    <w:abstractNumId w:val="10"/>
  </w:num>
  <w:num w:numId="25" w16cid:durableId="2139759447">
    <w:abstractNumId w:val="13"/>
  </w:num>
  <w:num w:numId="26" w16cid:durableId="947732662">
    <w:abstractNumId w:val="17"/>
  </w:num>
  <w:num w:numId="27" w16cid:durableId="1573537542">
    <w:abstractNumId w:val="16"/>
  </w:num>
  <w:num w:numId="28" w16cid:durableId="298149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BF"/>
    <w:rsid w:val="00044B98"/>
    <w:rsid w:val="00067EAD"/>
    <w:rsid w:val="00122C76"/>
    <w:rsid w:val="001F4918"/>
    <w:rsid w:val="0027038F"/>
    <w:rsid w:val="002F0BA5"/>
    <w:rsid w:val="003A60B2"/>
    <w:rsid w:val="003C5273"/>
    <w:rsid w:val="00403270"/>
    <w:rsid w:val="004259EE"/>
    <w:rsid w:val="00440A51"/>
    <w:rsid w:val="00534850"/>
    <w:rsid w:val="00535C51"/>
    <w:rsid w:val="00623BF2"/>
    <w:rsid w:val="00674447"/>
    <w:rsid w:val="006931F3"/>
    <w:rsid w:val="006B5CBF"/>
    <w:rsid w:val="006B7058"/>
    <w:rsid w:val="00710FB4"/>
    <w:rsid w:val="00724058"/>
    <w:rsid w:val="007A44DD"/>
    <w:rsid w:val="00842956"/>
    <w:rsid w:val="008C4FEF"/>
    <w:rsid w:val="00970B99"/>
    <w:rsid w:val="00A52CA8"/>
    <w:rsid w:val="00A62E84"/>
    <w:rsid w:val="00AE2D71"/>
    <w:rsid w:val="00B108B7"/>
    <w:rsid w:val="00B276C0"/>
    <w:rsid w:val="00BF6696"/>
    <w:rsid w:val="00C34F73"/>
    <w:rsid w:val="00CE3AEF"/>
    <w:rsid w:val="00CF0C9E"/>
    <w:rsid w:val="00D17887"/>
    <w:rsid w:val="00D62D8D"/>
    <w:rsid w:val="00D76159"/>
    <w:rsid w:val="00DD5977"/>
    <w:rsid w:val="00E220FA"/>
    <w:rsid w:val="00E257F9"/>
    <w:rsid w:val="00E32F3E"/>
    <w:rsid w:val="00F214C7"/>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502C11"/>
  <w15:chartTrackingRefBased/>
  <w15:docId w15:val="{FABF6DB8-4CBA-4475-9C47-5C69235F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6B5CBF"/>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right="142"/>
      <w:jc w:val="center"/>
    </w:pPr>
    <w:rPr>
      <w:rFonts w:eastAsia="Times New Roman"/>
      <w:noProof/>
      <w:color w:val="3C3C3B" w:themeColor="text1"/>
      <w:szCs w:val="18"/>
    </w:rPr>
  </w:style>
  <w:style w:type="character" w:customStyle="1" w:styleId="EncadrGrisClairCar">
    <w:name w:val="Encadré Gris Clair Car"/>
    <w:basedOn w:val="Policepardfaut"/>
    <w:link w:val="EncadrGrisClair"/>
    <w:rsid w:val="006B5CBF"/>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89011">
      <w:bodyDiv w:val="1"/>
      <w:marLeft w:val="0"/>
      <w:marRight w:val="0"/>
      <w:marTop w:val="0"/>
      <w:marBottom w:val="0"/>
      <w:divBdr>
        <w:top w:val="none" w:sz="0" w:space="0" w:color="auto"/>
        <w:left w:val="none" w:sz="0" w:space="0" w:color="auto"/>
        <w:bottom w:val="none" w:sz="0" w:space="0" w:color="auto"/>
        <w:right w:val="none" w:sz="0" w:space="0" w:color="auto"/>
      </w:divBdr>
    </w:div>
    <w:div w:id="3921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5977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4</cp:revision>
  <dcterms:created xsi:type="dcterms:W3CDTF">2024-05-14T07:10:00Z</dcterms:created>
  <dcterms:modified xsi:type="dcterms:W3CDTF">2024-12-23T08:38:00Z</dcterms:modified>
</cp:coreProperties>
</file>